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microsoft-fy2026-q4-earnings-preview"/>
    <w:p>
      <w:pPr>
        <w:pStyle w:val="Heading1"/>
      </w:pPr>
      <w:r>
        <w:t xml:space="preserve">Microsoft FY2026 Q4 Earnings Preview</w:t>
      </w:r>
    </w:p>
    <w:p>
      <w:pPr>
        <w:pStyle w:val="BlockText"/>
      </w:pPr>
      <w:r>
        <w:rPr>
          <w:b/>
          <w:bCs/>
        </w:rPr>
        <w:t xml:space="preserve">Date clarification:</w:t>
      </w:r>
      <w:r>
        <w:t xml:space="preserve"> </w:t>
      </w:r>
      <w:r>
        <w:t xml:space="preserve">Microsoft is scheduled to report</w:t>
      </w:r>
      <w:r>
        <w:t xml:space="preserve"> </w:t>
      </w:r>
      <w:r>
        <w:rPr>
          <w:b/>
          <w:bCs/>
        </w:rPr>
        <w:t xml:space="preserve">after the market closes today, Wednesday, July 29, 2026</w:t>
      </w:r>
      <w:r>
        <w:t xml:space="preserve">, rather than tomorrow. The earnings call is scheduled for 5:30 p.m. ET. (</w:t>
      </w:r>
      <w:hyperlink r:id="rId9">
        <w:r>
          <w:rPr>
            <w:rStyle w:val="Hyperlink"/>
          </w:rPr>
          <w:t xml:space="preserve">news.microsoft.com</w:t>
        </w:r>
      </w:hyperlink>
      <w:r>
        <w:t xml:space="preserve">)</w:t>
      </w:r>
    </w:p>
    <w:bookmarkStart w:id="10" w:name="executive-view"/>
    <w:p>
      <w:pPr>
        <w:pStyle w:val="Heading2"/>
      </w:pPr>
      <w:r>
        <w:t xml:space="preserve">Executive view</w:t>
      </w:r>
    </w:p>
    <w:p>
      <w:pPr>
        <w:pStyle w:val="FirstParagraph"/>
      </w:pPr>
      <w:r>
        <w:t xml:space="preserve">This report is less about whether Microsoft beats quarterly EPS and more about whether investors can see an improving return on its enormous AI infrastructure investment.</w:t>
      </w:r>
    </w:p>
    <w:p>
      <w:pPr>
        <w:pStyle w:val="BodyText"/>
      </w:pPr>
      <w:r>
        <w:t xml:space="preserve">The three numbers most likely to determine the stock reaction are:</w:t>
      </w:r>
    </w:p>
    <w:p>
      <w:pPr>
        <w:pStyle w:val="Compact"/>
        <w:numPr>
          <w:ilvl w:val="0"/>
          <w:numId w:val="1001"/>
        </w:numPr>
      </w:pPr>
      <w:r>
        <w:rPr>
          <w:b/>
          <w:bCs/>
        </w:rPr>
        <w:t xml:space="preserve">Azure growth</w:t>
      </w:r>
      <w:r>
        <w:t xml:space="preserve">, particularly whether it exceeds the 39%–40% constant-currency outlook.</w:t>
      </w:r>
    </w:p>
    <w:p>
      <w:pPr>
        <w:pStyle w:val="Compact"/>
        <w:numPr>
          <w:ilvl w:val="0"/>
          <w:numId w:val="1001"/>
        </w:numPr>
      </w:pPr>
      <w:r>
        <w:rPr>
          <w:b/>
          <w:bCs/>
        </w:rPr>
        <w:t xml:space="preserve">Capital spending</w:t>
      </w:r>
      <w:r>
        <w:t xml:space="preserve">, including any revision to the roughly $190 billion calendar-2026 plan and initial indications for fiscal 2027.</w:t>
      </w:r>
    </w:p>
    <w:p>
      <w:pPr>
        <w:pStyle w:val="Compact"/>
        <w:numPr>
          <w:ilvl w:val="0"/>
          <w:numId w:val="1001"/>
        </w:numPr>
      </w:pPr>
      <w:r>
        <w:rPr>
          <w:b/>
          <w:bCs/>
        </w:rPr>
        <w:t xml:space="preserve">Copilot monetization</w:t>
      </w:r>
      <w:r>
        <w:t xml:space="preserve">, where investors need evidence that rapid adoption is becoming material revenue—not merely higher compute expense.</w:t>
      </w:r>
    </w:p>
    <w:p>
      <w:pPr>
        <w:pStyle w:val="FirstParagraph"/>
      </w:pPr>
      <w:r>
        <w:t xml:space="preserve">Microsoft enters the report with expectations reset. Through July 28, the shares were approximately</w:t>
      </w:r>
      <w:r>
        <w:t xml:space="preserve"> </w:t>
      </w:r>
      <w:r>
        <w:rPr>
          <w:b/>
          <w:bCs/>
        </w:rPr>
        <w:t xml:space="preserve">17% below their first trading close of 2026</w:t>
      </w:r>
      <w:r>
        <w:t xml:space="preserve"> </w:t>
      </w:r>
      <w:r>
        <w:t xml:space="preserve">and about</w:t>
      </w:r>
      <w:r>
        <w:t xml:space="preserve"> </w:t>
      </w:r>
      <w:r>
        <w:rPr>
          <w:b/>
          <w:bCs/>
        </w:rPr>
        <w:t xml:space="preserve">7% below their April 29 close</w:t>
      </w:r>
      <w:r>
        <w:t xml:space="preserve">, while the Nasdaq-100 proxy QQQ was up roughly 10% year to date. That creates room for a relief rally, but the market remains unusually sensitive to any increase in AI spending without corresponding revenue acceleration.</w:t>
      </w:r>
    </w:p>
    <w:p>
      <w:r>
        <w:pict>
          <v:rect style="width:0;height:1.5pt" o:hralign="center" o:hrstd="t" o:hr="t"/>
        </w:pict>
      </w:r>
    </w:p>
    <w:bookmarkEnd w:id="10"/>
    <w:bookmarkStart w:id="12"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Microsoft’s Q4 outlook</w:t>
            </w:r>
          </w:p>
        </w:tc>
        <w:tc>
          <w:tcPr/>
          <w:p>
            <w:pPr>
              <w:pStyle w:val="Compact"/>
              <w:jc w:val="right"/>
            </w:pPr>
            <w:r>
              <w:t xml:space="preserve">Current Street expectation / hurdle</w:t>
            </w:r>
          </w:p>
        </w:tc>
      </w:tr>
      <w:tr>
        <w:tc>
          <w:tcPr/>
          <w:p>
            <w:pPr>
              <w:pStyle w:val="Compact"/>
            </w:pPr>
            <w:r>
              <w:t xml:space="preserve">Revenue</w:t>
            </w:r>
          </w:p>
        </w:tc>
        <w:tc>
          <w:tcPr/>
          <w:p>
            <w:pPr>
              <w:pStyle w:val="Compact"/>
              <w:jc w:val="right"/>
            </w:pPr>
            <m:oMath>
              <m:r>
                <m:t>86.7</m:t>
              </m:r>
              <m:r>
                <m:t>B</m:t>
              </m:r>
              <m:r>
                <m:rPr>
                  <m:sty m:val="p"/>
                </m:rPr>
                <m:t>–</m:t>
              </m:r>
            </m:oMath>
            <w:r>
              <w:rPr>
                <w:b/>
                <w:bCs/>
              </w:rPr>
              <w:t xml:space="preserve">87.8B</w:t>
            </w:r>
          </w:p>
        </w:tc>
        <w:tc>
          <w:tcPr/>
          <w:p>
            <w:pPr>
              <w:pStyle w:val="Compact"/>
              <w:jc w:val="right"/>
            </w:pPr>
            <w:r>
              <w:t xml:space="preserve">Approximately</w:t>
            </w:r>
            <w:r>
              <w:t xml:space="preserve"> </w:t>
            </w:r>
            <m:oMath>
              <m:r>
                <m:t>87.6</m:t>
              </m:r>
              <m:r>
                <m:t>B</m:t>
              </m:r>
              <m:r>
                <m:rPr>
                  <m:sty m:val="p"/>
                </m:rPr>
                <m:t>–</m:t>
              </m:r>
            </m:oMath>
            <w:r>
              <w:rPr>
                <w:b/>
                <w:bCs/>
              </w:rPr>
              <w:t xml:space="preserve">87.7B</w:t>
            </w:r>
          </w:p>
        </w:tc>
      </w:tr>
      <w:tr>
        <w:tc>
          <w:tcPr/>
          <w:p>
            <w:pPr>
              <w:pStyle w:val="Compact"/>
            </w:pPr>
            <w:r>
              <w:t xml:space="preserve">EPS</w:t>
            </w:r>
          </w:p>
        </w:tc>
        <w:tc>
          <w:tcPr/>
          <w:p>
            <w:pPr>
              <w:pStyle w:val="Compact"/>
              <w:jc w:val="right"/>
            </w:pPr>
            <w:r>
              <w:t xml:space="preserve">No formal EPS range</w:t>
            </w:r>
          </w:p>
        </w:tc>
        <w:tc>
          <w:tcPr/>
          <w:p>
            <w:pPr>
              <w:pStyle w:val="Compact"/>
              <w:jc w:val="right"/>
            </w:pPr>
            <w:r>
              <w:t xml:space="preserve">Approximately</w:t>
            </w:r>
            <w:r>
              <w:t xml:space="preserve"> </w:t>
            </w:r>
            <m:oMath>
              <m:r>
                <m:t>4.21</m:t>
              </m:r>
              <m:r>
                <m:rPr>
                  <m:sty m:val="p"/>
                </m:rPr>
                <m:t>–</m:t>
              </m:r>
            </m:oMath>
            <w:r>
              <w:rPr>
                <w:b/>
                <w:bCs/>
              </w:rPr>
              <w:t xml:space="preserve">4.24</w:t>
            </w:r>
          </w:p>
        </w:tc>
      </w:tr>
      <w:tr>
        <w:tc>
          <w:tcPr/>
          <w:p>
            <w:pPr>
              <w:pStyle w:val="Compact"/>
            </w:pPr>
            <w:r>
              <w:t xml:space="preserve">Azure growth</w:t>
            </w:r>
          </w:p>
        </w:tc>
        <w:tc>
          <w:tcPr/>
          <w:p>
            <w:pPr>
              <w:pStyle w:val="Compact"/>
              <w:jc w:val="right"/>
            </w:pPr>
            <w:r>
              <w:rPr>
                <w:b/>
                <w:bCs/>
              </w:rPr>
              <w:t xml:space="preserve">39%–40% constant currency</w:t>
            </w:r>
          </w:p>
        </w:tc>
        <w:tc>
          <w:tcPr/>
          <w:p>
            <w:pPr>
              <w:pStyle w:val="Compact"/>
              <w:jc w:val="right"/>
            </w:pPr>
            <w:r>
              <w:t xml:space="preserve">Likely needs to reach at least the top of guidance</w:t>
            </w:r>
          </w:p>
        </w:tc>
      </w:tr>
      <w:tr>
        <w:tc>
          <w:tcPr/>
          <w:p>
            <w:pPr>
              <w:pStyle w:val="Compact"/>
            </w:pPr>
            <w:r>
              <w:t xml:space="preserve">Productivity &amp; Business Processes</w:t>
            </w:r>
          </w:p>
        </w:tc>
        <w:tc>
          <w:tcPr/>
          <w:p>
            <w:pPr>
              <w:pStyle w:val="Compact"/>
              <w:jc w:val="right"/>
            </w:pPr>
            <m:oMath>
              <m:r>
                <m:t>37.0</m:t>
              </m:r>
              <m:r>
                <m:t>B</m:t>
              </m:r>
              <m:r>
                <m:rPr>
                  <m:sty m:val="p"/>
                </m:rPr>
                <m:t>–</m:t>
              </m:r>
            </m:oMath>
            <w:r>
              <w:rPr>
                <w:b/>
                <w:bCs/>
              </w:rPr>
              <w:t xml:space="preserve">37.3B</w:t>
            </w:r>
          </w:p>
        </w:tc>
        <w:tc>
          <w:tcPr/>
          <w:p>
            <w:pPr>
              <w:pStyle w:val="Compact"/>
              <w:jc w:val="right"/>
            </w:pPr>
            <w:r>
              <w:t xml:space="preserve">Watch M365 Copilot contribution</w:t>
            </w:r>
          </w:p>
        </w:tc>
      </w:tr>
      <w:tr>
        <w:tc>
          <w:tcPr/>
          <w:p>
            <w:pPr>
              <w:pStyle w:val="Compact"/>
            </w:pPr>
            <w:r>
              <w:t xml:space="preserve">Intelligent Cloud</w:t>
            </w:r>
          </w:p>
        </w:tc>
        <w:tc>
          <w:tcPr/>
          <w:p>
            <w:pPr>
              <w:pStyle w:val="Compact"/>
              <w:jc w:val="right"/>
            </w:pPr>
            <m:oMath>
              <m:r>
                <m:t>37.95</m:t>
              </m:r>
              <m:r>
                <m:t>B</m:t>
              </m:r>
              <m:r>
                <m:rPr>
                  <m:sty m:val="p"/>
                </m:rPr>
                <m:t>–</m:t>
              </m:r>
            </m:oMath>
            <w:r>
              <w:rPr>
                <w:b/>
                <w:bCs/>
              </w:rPr>
              <w:t xml:space="preserve">38.25B</w:t>
            </w:r>
          </w:p>
        </w:tc>
        <w:tc>
          <w:tcPr/>
          <w:p>
            <w:pPr>
              <w:pStyle w:val="Compact"/>
              <w:jc w:val="right"/>
            </w:pPr>
            <w:r>
              <w:t xml:space="preserve">Azure is the principal swing factor</w:t>
            </w:r>
          </w:p>
        </w:tc>
      </w:tr>
      <w:tr>
        <w:tc>
          <w:tcPr/>
          <w:p>
            <w:pPr>
              <w:pStyle w:val="Compact"/>
            </w:pPr>
            <w:r>
              <w:t xml:space="preserve">More Personal Computing</w:t>
            </w:r>
          </w:p>
        </w:tc>
        <w:tc>
          <w:tcPr/>
          <w:p>
            <w:pPr>
              <w:pStyle w:val="Compact"/>
              <w:jc w:val="right"/>
            </w:pPr>
            <m:oMath>
              <m:r>
                <m:t>11.75</m:t>
              </m:r>
              <m:r>
                <m:t>B</m:t>
              </m:r>
              <m:r>
                <m:rPr>
                  <m:sty m:val="p"/>
                </m:rPr>
                <m:t>–</m:t>
              </m:r>
            </m:oMath>
            <w:r>
              <w:rPr>
                <w:b/>
                <w:bCs/>
              </w:rPr>
              <w:t xml:space="preserve">12.25B</w:t>
            </w:r>
          </w:p>
        </w:tc>
        <w:tc>
          <w:tcPr/>
          <w:p>
            <w:pPr>
              <w:pStyle w:val="Compact"/>
              <w:jc w:val="right"/>
            </w:pPr>
            <w:r>
              <w:t xml:space="preserve">Expected to remain the weak segment</w:t>
            </w:r>
          </w:p>
        </w:tc>
      </w:tr>
      <w:tr>
        <w:tc>
          <w:tcPr/>
          <w:p>
            <w:pPr>
              <w:pStyle w:val="Compact"/>
            </w:pPr>
            <w:r>
              <w:t xml:space="preserve">Microsoft Cloud gross margin</w:t>
            </w:r>
          </w:p>
        </w:tc>
        <w:tc>
          <w:tcPr/>
          <w:p>
            <w:pPr>
              <w:pStyle w:val="Compact"/>
              <w:jc w:val="right"/>
            </w:pPr>
            <w:r>
              <w:t xml:space="preserve">Approximately</w:t>
            </w:r>
            <w:r>
              <w:t xml:space="preserve"> </w:t>
            </w:r>
            <w:r>
              <w:rPr>
                <w:b/>
                <w:bCs/>
              </w:rPr>
              <w:t xml:space="preserve">64%</w:t>
            </w:r>
          </w:p>
        </w:tc>
        <w:tc>
          <w:tcPr/>
          <w:p>
            <w:pPr>
              <w:pStyle w:val="Compact"/>
              <w:jc w:val="right"/>
            </w:pPr>
            <w:r>
              <w:t xml:space="preserve">Down year over year because of AI investment</w:t>
            </w:r>
          </w:p>
        </w:tc>
      </w:tr>
      <w:tr>
        <w:tc>
          <w:tcPr/>
          <w:p>
            <w:pPr>
              <w:pStyle w:val="Compact"/>
            </w:pPr>
            <w:r>
              <w:t xml:space="preserve">Q4 capital expenditures</w:t>
            </w:r>
          </w:p>
        </w:tc>
        <w:tc>
          <w:tcPr/>
          <w:p>
            <w:pPr>
              <w:pStyle w:val="Compact"/>
              <w:jc w:val="right"/>
            </w:pPr>
            <w:r>
              <w:rPr>
                <w:b/>
                <w:bCs/>
              </w:rPr>
              <w:t xml:space="preserve">More than $40B</w:t>
            </w:r>
          </w:p>
        </w:tc>
        <w:tc>
          <w:tcPr/>
          <w:p>
            <w:pPr>
              <w:pStyle w:val="Compact"/>
              <w:jc w:val="right"/>
            </w:pPr>
            <w:r>
              <w:t xml:space="preserve">Focus will be on the forward run rate</w:t>
            </w:r>
          </w:p>
        </w:tc>
      </w:tr>
      <w:tr>
        <w:tc>
          <w:tcPr/>
          <w:p>
            <w:pPr>
              <w:pStyle w:val="Compact"/>
            </w:pPr>
            <w:r>
              <w:t xml:space="preserve">Calendar-2026 capital expenditures</w:t>
            </w:r>
          </w:p>
        </w:tc>
        <w:tc>
          <w:tcPr/>
          <w:p>
            <w:pPr>
              <w:pStyle w:val="Compact"/>
              <w:jc w:val="right"/>
            </w:pPr>
            <w:r>
              <w:t xml:space="preserve">Approximately</w:t>
            </w:r>
            <w:r>
              <w:t xml:space="preserve"> </w:t>
            </w:r>
            <w:r>
              <w:rPr>
                <w:b/>
                <w:bCs/>
              </w:rPr>
              <w:t xml:space="preserve">$190B</w:t>
            </w:r>
          </w:p>
        </w:tc>
        <w:tc>
          <w:tcPr/>
          <w:p>
            <w:pPr>
              <w:pStyle w:val="Compact"/>
              <w:jc w:val="right"/>
            </w:pPr>
            <w:r>
              <w:t xml:space="preserve">Any further increase could pressure the shares</w:t>
            </w:r>
          </w:p>
        </w:tc>
      </w:tr>
    </w:tbl>
    <w:p>
      <w:pPr>
        <w:pStyle w:val="BodyText"/>
      </w:pPr>
      <w:r>
        <w:t xml:space="preserve">Street revenue expectations are near the upper end of management’s range, while published EPS estimates vary modestly by provider. (</w:t>
      </w:r>
      <w:hyperlink r:id="rId11">
        <w:r>
          <w:rPr>
            <w:rStyle w:val="Hyperlink"/>
          </w:rPr>
          <w:t xml:space="preserve">microsoft.com</w:t>
        </w:r>
      </w:hyperlink>
      <w:r>
        <w:t xml:space="preserve">)</w:t>
      </w:r>
    </w:p>
    <w:p>
      <w:r>
        <w:pict>
          <v:rect style="width:0;height:1.5pt" o:hralign="center" o:hrstd="t" o:hr="t"/>
        </w:pict>
      </w:r>
    </w:p>
    <w:bookmarkEnd w:id="12"/>
    <w:bookmarkStart w:id="13" w:name="Xdd62fc06657e40f983f0fe2d65f01ff5fac0b0f"/>
    <w:p>
      <w:pPr>
        <w:pStyle w:val="Heading2"/>
      </w:pPr>
      <w:r>
        <w:t xml:space="preserve">1. Azure: 40% may be the minimum, not the upside case</w:t>
      </w:r>
    </w:p>
    <w:p>
      <w:pPr>
        <w:pStyle w:val="FirstParagraph"/>
      </w:pPr>
      <w:r>
        <w:t xml:space="preserve">Azure grew</w:t>
      </w:r>
      <w:r>
        <w:t xml:space="preserve"> </w:t>
      </w:r>
      <w:r>
        <w:rPr>
          <w:b/>
          <w:bCs/>
        </w:rPr>
        <w:t xml:space="preserve">40% in constant currency in fiscal Q3</w:t>
      </w:r>
      <w:r>
        <w:t xml:space="preserve">, accelerating from the prior quarter. Management then guided Q4 to 39%–40%, despite a difficult comparison, and said Azure should show “modest acceleration” during the second half of calendar 2026. Demand continued to exceed available capacity, meaning reported growth remained partially supply-constrained. (</w:t>
      </w:r>
      <w:hyperlink r:id="rId11">
        <w:r>
          <w:rPr>
            <w:rStyle w:val="Hyperlink"/>
          </w:rPr>
          <w:t xml:space="preserve">microsoft.com</w:t>
        </w:r>
      </w:hyperlink>
      <w:r>
        <w:t xml:space="preserve">)</w:t>
      </w:r>
    </w:p>
    <w:p>
      <w:pPr>
        <w:pStyle w:val="BodyText"/>
      </w:pPr>
      <w:r>
        <w:t xml:space="preserve">That sets up an unusual earnings hurdle:</w:t>
      </w:r>
    </w:p>
    <w:p>
      <w:pPr>
        <w:pStyle w:val="Compact"/>
        <w:numPr>
          <w:ilvl w:val="0"/>
          <w:numId w:val="1002"/>
        </w:numPr>
      </w:pPr>
      <w:r>
        <w:rPr>
          <w:b/>
          <w:bCs/>
        </w:rPr>
        <w:t xml:space="preserve">39% growth</w:t>
      </w:r>
      <w:r>
        <w:t xml:space="preserve"> </w:t>
      </w:r>
      <w:r>
        <w:t xml:space="preserve">would technically meet guidance but could be interpreted as deceleration.</w:t>
      </w:r>
    </w:p>
    <w:p>
      <w:pPr>
        <w:pStyle w:val="Compact"/>
        <w:numPr>
          <w:ilvl w:val="0"/>
          <w:numId w:val="1002"/>
        </w:numPr>
      </w:pPr>
      <w:r>
        <w:rPr>
          <w:b/>
          <w:bCs/>
        </w:rPr>
        <w:t xml:space="preserve">40%</w:t>
      </w:r>
      <w:r>
        <w:t xml:space="preserve"> </w:t>
      </w:r>
      <w:r>
        <w:t xml:space="preserve">would be solid but probably not sufficient by itself to drive a strongly positive reaction.</w:t>
      </w:r>
    </w:p>
    <w:p>
      <w:pPr>
        <w:pStyle w:val="Compact"/>
        <w:numPr>
          <w:ilvl w:val="0"/>
          <w:numId w:val="1002"/>
        </w:numPr>
      </w:pPr>
      <w:r>
        <w:rPr>
          <w:b/>
          <w:bCs/>
        </w:rPr>
        <w:t xml:space="preserve">41% or better</w:t>
      </w:r>
      <w:r>
        <w:t xml:space="preserve">, combined with constructive fiscal-2027 commentary, would provide stronger evidence that new data-center capacity is turning into revenue.</w:t>
      </w:r>
    </w:p>
    <w:p>
      <w:pPr>
        <w:pStyle w:val="FirstParagraph"/>
      </w:pPr>
      <w:r>
        <w:t xml:space="preserve">Investors should also listen for whether Azure’s acceleration comes from broad enterprise consumption or unusually large customers such as OpenAI. The quality and diversity of growth will matter almost as much as the headline rate.</w:t>
      </w:r>
    </w:p>
    <w:p>
      <w:pPr>
        <w:pStyle w:val="BodyText"/>
      </w:pPr>
      <w:r>
        <w:t xml:space="preserve">A related question is whether capacity constraints remain a bullish sign of excess demand or become evidence of execution problems. Microsoft brought its Wisconsin Fairwater data center online six weeks early in Q3 and said it had reduced the time required to make new GPUs operational. Q4 should reveal whether those operational gains are materially improving revenue conversion. (</w:t>
      </w:r>
      <w:hyperlink r:id="rId11">
        <w:r>
          <w:rPr>
            <w:rStyle w:val="Hyperlink"/>
          </w:rPr>
          <w:t xml:space="preserve">microsoft.com</w:t>
        </w:r>
      </w:hyperlink>
      <w:r>
        <w:t xml:space="preserve">)</w:t>
      </w:r>
    </w:p>
    <w:p>
      <w:r>
        <w:pict>
          <v:rect style="width:0;height:1.5pt" o:hralign="center" o:hrstd="t" o:hr="t"/>
        </w:pict>
      </w:r>
    </w:p>
    <w:bookmarkEnd w:id="13"/>
    <w:bookmarkStart w:id="15" w:name="X2071159561d7d0a2dfd42dcde49ea03c1020e13"/>
    <w:p>
      <w:pPr>
        <w:pStyle w:val="Heading2"/>
      </w:pPr>
      <w:r>
        <w:t xml:space="preserve">2. Capex and free cash flow are the central valuation debate</w:t>
      </w:r>
    </w:p>
    <w:p>
      <w:pPr>
        <w:pStyle w:val="FirstParagraph"/>
      </w:pPr>
      <w:r>
        <w:t xml:space="preserve">Microsoft spent</w:t>
      </w:r>
      <w:r>
        <w:t xml:space="preserve"> </w:t>
      </w:r>
      <m:oMath>
        <m:r>
          <m:t>31.9</m:t>
        </m:r>
        <m:r>
          <m:t>b</m:t>
        </m:r>
        <m:r>
          <m:t>i</m:t>
        </m:r>
        <m:r>
          <m:t>l</m:t>
        </m:r>
        <m:r>
          <m:t>l</m:t>
        </m:r>
        <m:r>
          <m:t>i</m:t>
        </m:r>
        <m:r>
          <m:t>o</m:t>
        </m:r>
        <m:r>
          <m:t>n</m:t>
        </m:r>
        <m:r>
          <m:t>o</m:t>
        </m:r>
        <m:r>
          <m:t>n</m:t>
        </m:r>
        <m:r>
          <m:t>c</m:t>
        </m:r>
        <m:r>
          <m:t>a</m:t>
        </m:r>
        <m:r>
          <m:t>p</m:t>
        </m:r>
        <m:r>
          <m:t>i</m:t>
        </m:r>
        <m:r>
          <m:t>t</m:t>
        </m:r>
        <m:r>
          <m:t>a</m:t>
        </m:r>
        <m:r>
          <m:t>l</m:t>
        </m:r>
        <m:r>
          <m:t>e</m:t>
        </m:r>
        <m:r>
          <m:t>x</m:t>
        </m:r>
        <m:r>
          <m:t>p</m:t>
        </m:r>
        <m:r>
          <m:t>e</m:t>
        </m:r>
        <m:r>
          <m:t>n</m:t>
        </m:r>
        <m:r>
          <m:t>d</m:t>
        </m:r>
        <m:r>
          <m:t>i</m:t>
        </m:r>
        <m:r>
          <m:t>t</m:t>
        </m:r>
        <m:r>
          <m:t>u</m:t>
        </m:r>
        <m:r>
          <m:t>r</m:t>
        </m:r>
        <m:r>
          <m:t>e</m:t>
        </m:r>
        <m:r>
          <m:t>s</m:t>
        </m:r>
        <m:r>
          <m:t>i</m:t>
        </m:r>
        <m:r>
          <m:t>n</m:t>
        </m:r>
        <m:r>
          <m:t>Q</m:t>
        </m:r>
        <m:r>
          <m:t>3</m:t>
        </m:r>
        <m:r>
          <m:rPr>
            <m:sty m:val="p"/>
          </m:rPr>
          <m:t>*</m:t>
        </m:r>
        <m:r>
          <m:rPr>
            <m:sty m:val="p"/>
          </m:rPr>
          <m:t>*</m:t>
        </m:r>
        <m:r>
          <m:t>a</m:t>
        </m:r>
        <m:r>
          <m:t>n</m:t>
        </m:r>
        <m:r>
          <m:t>d</m:t>
        </m:r>
        <m:r>
          <m:t>e</m:t>
        </m:r>
        <m:r>
          <m:t>x</m:t>
        </m:r>
        <m:r>
          <m:t>p</m:t>
        </m:r>
        <m:r>
          <m:t>e</m:t>
        </m:r>
        <m:r>
          <m:t>c</m:t>
        </m:r>
        <m:r>
          <m:t>t</m:t>
        </m:r>
        <m:r>
          <m:t>s</m:t>
        </m:r>
        <m:r>
          <m:t>m</m:t>
        </m:r>
        <m:r>
          <m:t>o</m:t>
        </m:r>
        <m:r>
          <m:t>r</m:t>
        </m:r>
        <m:r>
          <m:t>e</m:t>
        </m:r>
        <m:r>
          <m:t>t</m:t>
        </m:r>
        <m:r>
          <m:t>h</m:t>
        </m:r>
        <m:r>
          <m:t>a</m:t>
        </m:r>
        <m:r>
          <m:t>n</m:t>
        </m:r>
        <m:r>
          <m:rPr>
            <m:sty m:val="p"/>
          </m:rPr>
          <m:t>*</m:t>
        </m:r>
        <m:r>
          <m:rPr>
            <m:sty m:val="p"/>
          </m:rPr>
          <m:t>*</m:t>
        </m:r>
      </m:oMath>
      <w:r>
        <w:rPr>
          <w:b/>
          <w:bCs/>
        </w:rPr>
        <w:t xml:space="preserve">40 billion in Q4</w:t>
      </w:r>
      <w:r>
        <w:t xml:space="preserve">. It also projected roughly</w:t>
      </w:r>
      <w:r>
        <w:t xml:space="preserve"> </w:t>
      </w:r>
      <w:r>
        <w:rPr>
          <w:b/>
          <w:bCs/>
        </w:rPr>
        <w:t xml:space="preserve">$190 billion of calendar-2026 capex</w:t>
      </w:r>
      <w:r>
        <w:t xml:space="preserve">, including approximately $25 billion related to higher component pricing. About two-thirds of Q3 capex went toward shorter-lived assets such as GPUs and CPUs, rather than long-duration land and buildings. (</w:t>
      </w:r>
      <w:hyperlink r:id="rId11">
        <w:r>
          <w:rPr>
            <w:rStyle w:val="Hyperlink"/>
          </w:rPr>
          <w:t xml:space="preserve">microsoft.com</w:t>
        </w:r>
      </w:hyperlink>
      <w:r>
        <w:t xml:space="preserve">)</w:t>
      </w:r>
    </w:p>
    <w:p>
      <w:pPr>
        <w:pStyle w:val="BodyText"/>
      </w:pPr>
      <w:r>
        <w:t xml:space="preserve">The spending is already affecting cash conversion. Q3 operating cash flow was $46.7 billion, but free cash flow was only $15.8 billion after infrastructure spending.</w:t>
      </w:r>
    </w:p>
    <w:p>
      <w:pPr>
        <w:pStyle w:val="BodyText"/>
      </w:pPr>
      <w:r>
        <w:t xml:space="preserve">The market is therefore likely to distinguish between three possible messages:</w:t>
      </w:r>
    </w:p>
    <w:p>
      <w:pPr>
        <w:pStyle w:val="Compact"/>
        <w:numPr>
          <w:ilvl w:val="0"/>
          <w:numId w:val="1003"/>
        </w:numPr>
      </w:pPr>
      <w:r>
        <w:rPr>
          <w:b/>
          <w:bCs/>
        </w:rPr>
        <w:t xml:space="preserve">Constructive:</w:t>
      </w:r>
      <w:r>
        <w:t xml:space="preserve"> </w:t>
      </w:r>
      <w:r>
        <w:t xml:space="preserve">Capex stays near $190 billion, Azure accelerates, and management points to improved utilization and unit economics.</w:t>
      </w:r>
    </w:p>
    <w:p>
      <w:pPr>
        <w:pStyle w:val="Compact"/>
        <w:numPr>
          <w:ilvl w:val="0"/>
          <w:numId w:val="1003"/>
        </w:numPr>
      </w:pPr>
      <w:r>
        <w:rPr>
          <w:b/>
          <w:bCs/>
        </w:rPr>
        <w:t xml:space="preserve">Mixed:</w:t>
      </w:r>
      <w:r>
        <w:t xml:space="preserve"> </w:t>
      </w:r>
      <w:r>
        <w:t xml:space="preserve">Spending rises, but management can demonstrate that the increase is supported by contracted customer demand and near-term capacity shortages.</w:t>
      </w:r>
    </w:p>
    <w:p>
      <w:pPr>
        <w:pStyle w:val="Compact"/>
        <w:numPr>
          <w:ilvl w:val="0"/>
          <w:numId w:val="1003"/>
        </w:numPr>
      </w:pPr>
      <w:r>
        <w:rPr>
          <w:b/>
          <w:bCs/>
        </w:rPr>
        <w:t xml:space="preserve">Negative:</w:t>
      </w:r>
      <w:r>
        <w:t xml:space="preserve"> </w:t>
      </w:r>
      <w:r>
        <w:t xml:space="preserve">Capex is raised again without stronger Azure growth, Copilot revenue or margin evidence.</w:t>
      </w:r>
    </w:p>
    <w:p>
      <w:pPr>
        <w:pStyle w:val="FirstParagraph"/>
      </w:pPr>
      <w:r>
        <w:t xml:space="preserve">Alphabet’s recent capex increase received a poor market reaction despite strong cloud growth, heightening sensitivity around Microsoft’s spending. The key question will not simply be “How much?” but</w:t>
      </w:r>
      <w:r>
        <w:t xml:space="preserve"> </w:t>
      </w:r>
      <w:r>
        <w:rPr>
          <w:b/>
          <w:bCs/>
        </w:rPr>
        <w:t xml:space="preserve">how quickly additional infrastructure becomes revenue-producing capacity</w:t>
      </w:r>
      <w:r>
        <w:t xml:space="preserve">. (</w:t>
      </w:r>
      <w:hyperlink r:id="rId14">
        <w:r>
          <w:rPr>
            <w:rStyle w:val="Hyperlink"/>
          </w:rPr>
          <w:t xml:space="preserve">investing.com</w:t>
        </w:r>
      </w:hyperlink>
      <w:r>
        <w:t xml:space="preserve">)</w:t>
      </w:r>
    </w:p>
    <w:p>
      <w:r>
        <w:pict>
          <v:rect style="width:0;height:1.5pt" o:hralign="center" o:hrstd="t" o:hr="t"/>
        </w:pict>
      </w:r>
    </w:p>
    <w:bookmarkEnd w:id="15"/>
    <w:bookmarkStart w:id="16" w:name="X066fa2d18a1a76442026ca6da57c549e79c67b9"/>
    <w:p>
      <w:pPr>
        <w:pStyle w:val="Heading2"/>
      </w:pPr>
      <w:r>
        <w:t xml:space="preserve">3. Copilot needs to graduate from adoption story to financial driver</w:t>
      </w:r>
    </w:p>
    <w:p>
      <w:pPr>
        <w:pStyle w:val="FirstParagraph"/>
      </w:pPr>
      <w:r>
        <w:t xml:space="preserve">Microsoft reported more than</w:t>
      </w:r>
      <w:r>
        <w:t xml:space="preserve"> </w:t>
      </w:r>
      <w:r>
        <w:rPr>
          <w:b/>
          <w:bCs/>
        </w:rPr>
        <w:t xml:space="preserve">20 million paid Microsoft 365 Copilot seats</w:t>
      </w:r>
      <w:r>
        <w:t xml:space="preserve"> </w:t>
      </w:r>
      <w:r>
        <w:t xml:space="preserve">in Q3. Seat additions increased 250% year over year, large enterprise deployments expanded sharply, and management expected Q4 net paid-seat additions to increase sequentially. Microsoft also reported increasing usage intensity, with Copilot queries per user up nearly 20% sequentially. (</w:t>
      </w:r>
      <w:hyperlink r:id="rId11">
        <w:r>
          <w:rPr>
            <w:rStyle w:val="Hyperlink"/>
          </w:rPr>
          <w:t xml:space="preserve">microsoft.com</w:t>
        </w:r>
      </w:hyperlink>
      <w:r>
        <w:t xml:space="preserve">)</w:t>
      </w:r>
    </w:p>
    <w:p>
      <w:pPr>
        <w:pStyle w:val="BodyText"/>
      </w:pPr>
      <w:r>
        <w:t xml:space="preserve">Useful Q4 disclosures would include:</w:t>
      </w:r>
    </w:p>
    <w:p>
      <w:pPr>
        <w:pStyle w:val="Compact"/>
        <w:numPr>
          <w:ilvl w:val="0"/>
          <w:numId w:val="1004"/>
        </w:numPr>
      </w:pPr>
      <w:r>
        <w:t xml:space="preserve">Updated paid-seat count.</w:t>
      </w:r>
    </w:p>
    <w:p>
      <w:pPr>
        <w:pStyle w:val="Compact"/>
        <w:numPr>
          <w:ilvl w:val="0"/>
          <w:numId w:val="1004"/>
        </w:numPr>
      </w:pPr>
      <w:r>
        <w:t xml:space="preserve">Sequential net additions.</w:t>
      </w:r>
    </w:p>
    <w:p>
      <w:pPr>
        <w:pStyle w:val="Compact"/>
        <w:numPr>
          <w:ilvl w:val="0"/>
          <w:numId w:val="1004"/>
        </w:numPr>
      </w:pPr>
      <w:r>
        <w:t xml:space="preserve">Growth in customers with 50,000 or more seats.</w:t>
      </w:r>
    </w:p>
    <w:p>
      <w:pPr>
        <w:pStyle w:val="Compact"/>
        <w:numPr>
          <w:ilvl w:val="0"/>
          <w:numId w:val="1004"/>
        </w:numPr>
      </w:pPr>
      <w:r>
        <w:t xml:space="preserve">Copilot contribution to M365 commercial-cloud ARPU.</w:t>
      </w:r>
    </w:p>
    <w:p>
      <w:pPr>
        <w:pStyle w:val="Compact"/>
        <w:numPr>
          <w:ilvl w:val="0"/>
          <w:numId w:val="1004"/>
        </w:numPr>
      </w:pPr>
      <w:r>
        <w:t xml:space="preserve">Consumption or credit revenue from custom agents.</w:t>
      </w:r>
    </w:p>
    <w:p>
      <w:pPr>
        <w:pStyle w:val="Compact"/>
        <w:numPr>
          <w:ilvl w:val="0"/>
          <w:numId w:val="1004"/>
        </w:numPr>
      </w:pPr>
      <w:r>
        <w:t xml:space="preserve">Evidence that first-party models are lowering inference costs.</w:t>
      </w:r>
    </w:p>
    <w:p>
      <w:pPr>
        <w:pStyle w:val="Compact"/>
        <w:numPr>
          <w:ilvl w:val="0"/>
          <w:numId w:val="1004"/>
        </w:numPr>
      </w:pPr>
      <w:r>
        <w:t xml:space="preserve">Adoption of the new seat-plus-consumption pricing architecture.</w:t>
      </w:r>
    </w:p>
    <w:p>
      <w:pPr>
        <w:pStyle w:val="FirstParagraph"/>
      </w:pPr>
      <w:r>
        <w:t xml:space="preserve">The distinction between</w:t>
      </w:r>
      <w:r>
        <w:t xml:space="preserve"> </w:t>
      </w:r>
      <w:r>
        <w:rPr>
          <w:b/>
          <w:bCs/>
        </w:rPr>
        <w:t xml:space="preserve">paid seats</w:t>
      </w:r>
      <w:r>
        <w:t xml:space="preserve"> </w:t>
      </w:r>
      <w:r>
        <w:t xml:space="preserve">and</w:t>
      </w:r>
      <w:r>
        <w:t xml:space="preserve"> </w:t>
      </w:r>
      <w:r>
        <w:rPr>
          <w:b/>
          <w:bCs/>
        </w:rPr>
        <w:t xml:space="preserve">active, high-intensity users</w:t>
      </w:r>
      <w:r>
        <w:t xml:space="preserve"> </w:t>
      </w:r>
      <w:r>
        <w:t xml:space="preserve">is important. Microsoft is moving toward a model in which customers purchase a base entitlement and then pay additional usage charges. That could expand revenue per customer, but only if agents produce measurable business value and customers accept less predictable consumption bills.</w:t>
      </w:r>
    </w:p>
    <w:p>
      <w:pPr>
        <w:pStyle w:val="BodyText"/>
      </w:pPr>
      <w:r>
        <w:t xml:space="preserve">GitHub Copilot is an early test case. Microsoft has been shifting it toward usage-based pricing, which may improve revenue alignment and margins over time but could create near-term customer or usage friction.</w:t>
      </w:r>
    </w:p>
    <w:p>
      <w:r>
        <w:pict>
          <v:rect style="width:0;height:1.5pt" o:hralign="center" o:hrstd="t" o:hr="t"/>
        </w:pict>
      </w:r>
    </w:p>
    <w:bookmarkEnd w:id="16"/>
    <w:bookmarkStart w:id="17" w:name="X58c17dfeeac35aa853544bab5c2d216df640b35"/>
    <w:p>
      <w:pPr>
        <w:pStyle w:val="Heading2"/>
      </w:pPr>
      <w:r>
        <w:t xml:space="preserve">4. Margins: watch the outlook more than the reported quarter</w:t>
      </w:r>
    </w:p>
    <w:p>
      <w:pPr>
        <w:pStyle w:val="FirstParagraph"/>
      </w:pPr>
      <w:r>
        <w:t xml:space="preserve">At the midpoint of Microsoft’s Q4 guidance, revenue of $87.25 billion, cost of revenue of $29.5 billion and operating expenses of $19.35 billion imply approximately:</w:t>
      </w:r>
    </w:p>
    <w:p>
      <w:pPr>
        <w:pStyle w:val="Compact"/>
        <w:numPr>
          <w:ilvl w:val="0"/>
          <w:numId w:val="1005"/>
        </w:numPr>
      </w:pPr>
      <w:r>
        <w:rPr>
          <w:b/>
          <w:bCs/>
        </w:rPr>
        <w:t xml:space="preserve">$57.75 billion of gross profit</w:t>
      </w:r>
    </w:p>
    <w:p>
      <w:pPr>
        <w:pStyle w:val="Compact"/>
        <w:numPr>
          <w:ilvl w:val="0"/>
          <w:numId w:val="1005"/>
        </w:numPr>
      </w:pPr>
      <w:r>
        <w:rPr>
          <w:b/>
          <w:bCs/>
        </w:rPr>
        <w:t xml:space="preserve">66.2% company gross margin</w:t>
      </w:r>
    </w:p>
    <w:p>
      <w:pPr>
        <w:pStyle w:val="Compact"/>
        <w:numPr>
          <w:ilvl w:val="0"/>
          <w:numId w:val="1005"/>
        </w:numPr>
      </w:pPr>
      <w:r>
        <w:rPr>
          <w:b/>
          <w:bCs/>
        </w:rPr>
        <w:t xml:space="preserve">$38.4 billion of operating income</w:t>
      </w:r>
    </w:p>
    <w:p>
      <w:pPr>
        <w:pStyle w:val="Compact"/>
        <w:numPr>
          <w:ilvl w:val="0"/>
          <w:numId w:val="1005"/>
        </w:numPr>
      </w:pPr>
      <w:r>
        <w:rPr>
          <w:b/>
          <w:bCs/>
        </w:rPr>
        <w:t xml:space="preserve">44.0% operating margin</w:t>
      </w:r>
    </w:p>
    <w:p>
      <w:pPr>
        <w:pStyle w:val="FirstParagraph"/>
      </w:pPr>
      <w:r>
        <w:t xml:space="preserve">The outlook includes approximately</w:t>
      </w:r>
      <w:r>
        <w:t xml:space="preserve"> </w:t>
      </w:r>
      <w:r>
        <w:rPr>
          <w:b/>
          <w:bCs/>
        </w:rPr>
        <w:t xml:space="preserve">$900 million of one-time voluntary-retirement costs</w:t>
      </w:r>
      <w:r>
        <w:t xml:space="preserve">. Excluding those costs, the underlying operating margin would be roughly one percentage point higher.</w:t>
      </w:r>
    </w:p>
    <w:p>
      <w:pPr>
        <w:pStyle w:val="BodyText"/>
      </w:pPr>
      <w:r>
        <w:t xml:space="preserve">More important than the Q4 result will be fiscal-2027 guidance. Management previously indicated:</w:t>
      </w:r>
    </w:p>
    <w:p>
      <w:pPr>
        <w:pStyle w:val="Compact"/>
        <w:numPr>
          <w:ilvl w:val="0"/>
          <w:numId w:val="1006"/>
        </w:numPr>
      </w:pPr>
      <w:r>
        <w:t xml:space="preserve">Double-digit revenue growth.</w:t>
      </w:r>
    </w:p>
    <w:p>
      <w:pPr>
        <w:pStyle w:val="Compact"/>
        <w:numPr>
          <w:ilvl w:val="0"/>
          <w:numId w:val="1006"/>
        </w:numPr>
      </w:pPr>
      <w:r>
        <w:t xml:space="preserve">Double-digit operating-income growth.</w:t>
      </w:r>
    </w:p>
    <w:p>
      <w:pPr>
        <w:pStyle w:val="Compact"/>
        <w:numPr>
          <w:ilvl w:val="0"/>
          <w:numId w:val="1006"/>
        </w:numPr>
      </w:pPr>
      <w:r>
        <w:t xml:space="preserve">Mid- to high-single-digit operating-expense growth.</w:t>
      </w:r>
    </w:p>
    <w:p>
      <w:pPr>
        <w:pStyle w:val="Compact"/>
        <w:numPr>
          <w:ilvl w:val="0"/>
          <w:numId w:val="1006"/>
        </w:numPr>
      </w:pPr>
      <w:r>
        <w:t xml:space="preserve">Lower year-over-year headcount.</w:t>
      </w:r>
    </w:p>
    <w:p>
      <w:pPr>
        <w:pStyle w:val="Compact"/>
        <w:numPr>
          <w:ilvl w:val="0"/>
          <w:numId w:val="1006"/>
        </w:numPr>
      </w:pPr>
      <w:r>
        <w:t xml:space="preserve">Continued heavy investment in AI capacity and product development. (</w:t>
      </w:r>
      <w:hyperlink r:id="rId11">
        <w:r>
          <w:rPr>
            <w:rStyle w:val="Hyperlink"/>
          </w:rPr>
          <w:t xml:space="preserve">microsoft.com</w:t>
        </w:r>
      </w:hyperlink>
      <w:r>
        <w:t xml:space="preserve">)</w:t>
      </w:r>
    </w:p>
    <w:p>
      <w:pPr>
        <w:pStyle w:val="FirstParagraph"/>
      </w:pPr>
      <w:r>
        <w:t xml:space="preserve">A favorable outlook would preserve operating leverage despite higher depreciation, energy, lease and inference costs. A less favorable outcome would be revenue growth around the low teens while depreciation and infrastructure expenses keep margins under sustained pressure.</w:t>
      </w:r>
    </w:p>
    <w:p>
      <w:r>
        <w:pict>
          <v:rect style="width:0;height:1.5pt" o:hralign="center" o:hrstd="t" o:hr="t"/>
        </w:pict>
      </w:r>
    </w:p>
    <w:bookmarkEnd w:id="17"/>
    <w:bookmarkStart w:id="18" w:name="X5c9ab0f4db212208b1ab134b46a486bc8df8306"/>
    <w:p>
      <w:pPr>
        <w:pStyle w:val="Heading2"/>
      </w:pPr>
      <w:r>
        <w:t xml:space="preserve">5. Backlog quality and OpenAI exposure</w:t>
      </w:r>
    </w:p>
    <w:p>
      <w:pPr>
        <w:pStyle w:val="FirstParagraph"/>
      </w:pPr>
      <w:r>
        <w:t xml:space="preserve">Commercial remaining performance obligations reached</w:t>
      </w:r>
      <w:r>
        <w:t xml:space="preserve"> </w:t>
      </w:r>
      <w:r>
        <w:rPr>
          <w:b/>
          <w:bCs/>
        </w:rPr>
        <w:t xml:space="preserve">$627 billion in Q3</w:t>
      </w:r>
      <w:r>
        <w:t xml:space="preserve">, up 99% year over year, with roughly 25% expected to be recognized over the following 12 months. However, OpenAI is a major contributor: commercial bookings grew 7% excluding OpenAI but declined 4% including it because of difficult contract comparisons. (</w:t>
      </w:r>
      <w:hyperlink r:id="rId11">
        <w:r>
          <w:rPr>
            <w:rStyle w:val="Hyperlink"/>
          </w:rPr>
          <w:t xml:space="preserve">microsoft.com</w:t>
        </w:r>
      </w:hyperlink>
      <w:r>
        <w:t xml:space="preserve">)</w:t>
      </w:r>
    </w:p>
    <w:p>
      <w:pPr>
        <w:pStyle w:val="BodyText"/>
      </w:pPr>
      <w:r>
        <w:t xml:space="preserve">Investors should look for:</w:t>
      </w:r>
    </w:p>
    <w:p>
      <w:pPr>
        <w:pStyle w:val="Compact"/>
        <w:numPr>
          <w:ilvl w:val="0"/>
          <w:numId w:val="1007"/>
        </w:numPr>
      </w:pPr>
      <w:r>
        <w:t xml:space="preserve">Commercial-bookings growth excluding OpenAI.</w:t>
      </w:r>
    </w:p>
    <w:p>
      <w:pPr>
        <w:pStyle w:val="Compact"/>
        <w:numPr>
          <w:ilvl w:val="0"/>
          <w:numId w:val="1007"/>
        </w:numPr>
      </w:pPr>
      <w:r>
        <w:t xml:space="preserve">Changes in RPO duration and near-term conversion.</w:t>
      </w:r>
    </w:p>
    <w:p>
      <w:pPr>
        <w:pStyle w:val="Compact"/>
        <w:numPr>
          <w:ilvl w:val="0"/>
          <w:numId w:val="1007"/>
        </w:numPr>
      </w:pPr>
      <w:r>
        <w:t xml:space="preserve">Whether OpenAI-related demand is consuming capacity that could otherwise serve higher-margin customers.</w:t>
      </w:r>
    </w:p>
    <w:p>
      <w:pPr>
        <w:pStyle w:val="Compact"/>
        <w:numPr>
          <w:ilvl w:val="0"/>
          <w:numId w:val="1007"/>
        </w:numPr>
      </w:pPr>
      <w:r>
        <w:t xml:space="preserve">Progress diversifying Microsoft’s model ecosystem through Anthropic, Mistral and first-party MAI models.</w:t>
      </w:r>
    </w:p>
    <w:p>
      <w:pPr>
        <w:pStyle w:val="Compact"/>
        <w:numPr>
          <w:ilvl w:val="0"/>
          <w:numId w:val="1007"/>
        </w:numPr>
      </w:pPr>
      <w:r>
        <w:t xml:space="preserve">Whether first-party models are reducing cost of goods sold in Copilot and other applications.</w:t>
      </w:r>
    </w:p>
    <w:p>
      <w:pPr>
        <w:pStyle w:val="FirstParagraph"/>
      </w:pPr>
      <w:r>
        <w:t xml:space="preserve">Microsoft has meaningful protection through its OpenAI agreement, including access to model intellectual property through 2032 and revenue-sharing economics through 2030. Still, a backlog heavily influenced by one strategic partner deserves a different valuation than broadly distributed enterprise demand.</w:t>
      </w:r>
    </w:p>
    <w:p>
      <w:r>
        <w:pict>
          <v:rect style="width:0;height:1.5pt" o:hralign="center" o:hrstd="t" o:hr="t"/>
        </w:pict>
      </w:r>
    </w:p>
    <w:bookmarkEnd w:id="18"/>
    <w:bookmarkStart w:id="21" w:name="other-segment-considerations"/>
    <w:p>
      <w:pPr>
        <w:pStyle w:val="Heading2"/>
      </w:pPr>
      <w:r>
        <w:t xml:space="preserve">Other segment considerations</w:t>
      </w:r>
    </w:p>
    <w:bookmarkStart w:id="19" w:name="microsoft-365-and-dynamics"/>
    <w:p>
      <w:pPr>
        <w:pStyle w:val="Heading3"/>
      </w:pPr>
      <w:r>
        <w:t xml:space="preserve">Microsoft 365 and Dynamics</w:t>
      </w:r>
    </w:p>
    <w:p>
      <w:pPr>
        <w:pStyle w:val="FirstParagraph"/>
      </w:pPr>
      <w:r>
        <w:t xml:space="preserve">M365 Commercial Cloud is guided to</w:t>
      </w:r>
      <w:r>
        <w:t xml:space="preserve"> </w:t>
      </w:r>
      <w:r>
        <w:rPr>
          <w:b/>
          <w:bCs/>
        </w:rPr>
        <w:t xml:space="preserve">13%–14% constant-currency growth as reported</w:t>
      </w:r>
      <w:r>
        <w:t xml:space="preserve">, or 15%–16% after normalizing a prior-year revenue-recognition benefit. Copilot-driven ARPU is the principal potential upside lever.</w:t>
      </w:r>
    </w:p>
    <w:p>
      <w:pPr>
        <w:pStyle w:val="BodyText"/>
      </w:pPr>
      <w:r>
        <w:t xml:space="preserve">Dynamics 365 growth is expected to slow to the low double digits. Management previously cited weaker renewals as customers balance traditional per-seat software spending against emerging consumption-based AI products. (</w:t>
      </w:r>
      <w:hyperlink r:id="rId11">
        <w:r>
          <w:rPr>
            <w:rStyle w:val="Hyperlink"/>
          </w:rPr>
          <w:t xml:space="preserve">microsoft.com</w:t>
        </w:r>
      </w:hyperlink>
      <w:r>
        <w:t xml:space="preserve">)</w:t>
      </w:r>
    </w:p>
    <w:bookmarkEnd w:id="19"/>
    <w:bookmarkStart w:id="20" w:name="windows-and-gaming"/>
    <w:p>
      <w:pPr>
        <w:pStyle w:val="Heading3"/>
      </w:pPr>
      <w:r>
        <w:t xml:space="preserve">Windows and gaming</w:t>
      </w:r>
    </w:p>
    <w:p>
      <w:pPr>
        <w:pStyle w:val="FirstParagraph"/>
      </w:pPr>
      <w:r>
        <w:t xml:space="preserve">More Personal Computing is expected to be the clear weak spot:</w:t>
      </w:r>
    </w:p>
    <w:p>
      <w:pPr>
        <w:pStyle w:val="Compact"/>
        <w:numPr>
          <w:ilvl w:val="0"/>
          <w:numId w:val="1008"/>
        </w:numPr>
      </w:pPr>
      <w:r>
        <w:t xml:space="preserve">Windows OEM faces a difficult Windows 10 end-of-support comparison.</w:t>
      </w:r>
    </w:p>
    <w:p>
      <w:pPr>
        <w:pStyle w:val="Compact"/>
        <w:numPr>
          <w:ilvl w:val="0"/>
          <w:numId w:val="1008"/>
        </w:numPr>
      </w:pPr>
      <w:r>
        <w:t xml:space="preserve">Elevated memory costs are pressuring PC demand and inventory.</w:t>
      </w:r>
    </w:p>
    <w:p>
      <w:pPr>
        <w:pStyle w:val="Compact"/>
        <w:numPr>
          <w:ilvl w:val="0"/>
          <w:numId w:val="1008"/>
        </w:numPr>
      </w:pPr>
      <w:r>
        <w:t xml:space="preserve">Xbox content and services revenue is expected to decline in the low teens.</w:t>
      </w:r>
    </w:p>
    <w:p>
      <w:pPr>
        <w:pStyle w:val="Compact"/>
        <w:numPr>
          <w:ilvl w:val="0"/>
          <w:numId w:val="1008"/>
        </w:numPr>
      </w:pPr>
      <w:r>
        <w:t xml:space="preserve">Recent gaming restructuring raises questions about returns on the Activision acquisition.</w:t>
      </w:r>
    </w:p>
    <w:p>
      <w:pPr>
        <w:pStyle w:val="FirstParagraph"/>
      </w:pPr>
      <w:r>
        <w:t xml:space="preserve">These businesses are unlikely to determine the immediate stock reaction unless results fall materially outside guidance.</w:t>
      </w:r>
    </w:p>
    <w:p>
      <w:r>
        <w:pict>
          <v:rect style="width:0;height:1.5pt" o:hralign="center" o:hrstd="t" o:hr="t"/>
        </w:pict>
      </w:r>
    </w:p>
    <w:bookmarkEnd w:id="20"/>
    <w:bookmarkEnd w:id="21"/>
    <w:bookmarkStart w:id="25" w:name="scenario-framework"/>
    <w:p>
      <w:pPr>
        <w:pStyle w:val="Heading2"/>
      </w:pPr>
      <w:r>
        <w:t xml:space="preserve">Scenario framework</w:t>
      </w:r>
    </w:p>
    <w:bookmarkStart w:id="22" w:name="bull-case"/>
    <w:p>
      <w:pPr>
        <w:pStyle w:val="Heading3"/>
      </w:pPr>
      <w:r>
        <w:t xml:space="preserve">Bull case</w:t>
      </w:r>
    </w:p>
    <w:p>
      <w:pPr>
        <w:pStyle w:val="Compact"/>
        <w:numPr>
          <w:ilvl w:val="0"/>
          <w:numId w:val="1009"/>
        </w:numPr>
      </w:pPr>
      <w:r>
        <w:t xml:space="preserve">Revenue above $88 billion.</w:t>
      </w:r>
    </w:p>
    <w:p>
      <w:pPr>
        <w:pStyle w:val="Compact"/>
        <w:numPr>
          <w:ilvl w:val="0"/>
          <w:numId w:val="1009"/>
        </w:numPr>
      </w:pPr>
      <w:r>
        <w:t xml:space="preserve">Azure growth of</w:t>
      </w:r>
      <w:r>
        <w:t xml:space="preserve"> </w:t>
      </w:r>
      <w:r>
        <w:rPr>
          <w:b/>
          <w:bCs/>
        </w:rPr>
        <w:t xml:space="preserve">41% or better</w:t>
      </w:r>
      <w:r>
        <w:t xml:space="preserve">.</w:t>
      </w:r>
    </w:p>
    <w:p>
      <w:pPr>
        <w:pStyle w:val="Compact"/>
        <w:numPr>
          <w:ilvl w:val="0"/>
          <w:numId w:val="1009"/>
        </w:numPr>
      </w:pPr>
      <w:r>
        <w:t xml:space="preserve">Strong Copilot seat and usage growth.</w:t>
      </w:r>
    </w:p>
    <w:p>
      <w:pPr>
        <w:pStyle w:val="Compact"/>
        <w:numPr>
          <w:ilvl w:val="0"/>
          <w:numId w:val="1009"/>
        </w:numPr>
      </w:pPr>
      <w:r>
        <w:t xml:space="preserve">Calendar-2026 capex remains near $190 billion rather than rising.</w:t>
      </w:r>
    </w:p>
    <w:p>
      <w:pPr>
        <w:pStyle w:val="Compact"/>
        <w:numPr>
          <w:ilvl w:val="0"/>
          <w:numId w:val="1009"/>
        </w:numPr>
      </w:pPr>
      <w:r>
        <w:t xml:space="preserve">Management signals Azure acceleration and durable operating leverage in FY2027.</w:t>
      </w:r>
    </w:p>
    <w:p>
      <w:pPr>
        <w:pStyle w:val="Compact"/>
        <w:numPr>
          <w:ilvl w:val="0"/>
          <w:numId w:val="1009"/>
        </w:numPr>
      </w:pPr>
      <w:r>
        <w:t xml:space="preserve">Commercial bookings excluding OpenAI remain healthy.</w:t>
      </w:r>
    </w:p>
    <w:p>
      <w:pPr>
        <w:pStyle w:val="FirstParagraph"/>
      </w:pPr>
      <w:r>
        <w:rPr>
          <w:b/>
          <w:bCs/>
        </w:rPr>
        <w:t xml:space="preserve">Likely interpretation:</w:t>
      </w:r>
      <w:r>
        <w:t xml:space="preserve"> </w:t>
      </w:r>
      <w:r>
        <w:t xml:space="preserve">AI infrastructure is converting into revenue faster than feared, with the stock’s year-to-date underperformance leaving room for a meaningful rerating.</w:t>
      </w:r>
    </w:p>
    <w:bookmarkEnd w:id="22"/>
    <w:bookmarkStart w:id="23" w:name="base-case"/>
    <w:p>
      <w:pPr>
        <w:pStyle w:val="Heading3"/>
      </w:pPr>
      <w:r>
        <w:t xml:space="preserve">Base case</w:t>
      </w:r>
    </w:p>
    <w:p>
      <w:pPr>
        <w:pStyle w:val="Compact"/>
        <w:numPr>
          <w:ilvl w:val="0"/>
          <w:numId w:val="1010"/>
        </w:numPr>
      </w:pPr>
      <w:r>
        <w:t xml:space="preserve">Revenue and EPS close to consensus.</w:t>
      </w:r>
    </w:p>
    <w:p>
      <w:pPr>
        <w:pStyle w:val="Compact"/>
        <w:numPr>
          <w:ilvl w:val="0"/>
          <w:numId w:val="1010"/>
        </w:numPr>
      </w:pPr>
      <w:r>
        <w:t xml:space="preserve">Azure growth of 39%–40%.</w:t>
      </w:r>
    </w:p>
    <w:p>
      <w:pPr>
        <w:pStyle w:val="Compact"/>
        <w:numPr>
          <w:ilvl w:val="0"/>
          <w:numId w:val="1010"/>
        </w:numPr>
      </w:pPr>
      <w:r>
        <w:t xml:space="preserve">Copilot adoption remains strong but financial disclosure stays limited.</w:t>
      </w:r>
    </w:p>
    <w:p>
      <w:pPr>
        <w:pStyle w:val="Compact"/>
        <w:numPr>
          <w:ilvl w:val="0"/>
          <w:numId w:val="1010"/>
        </w:numPr>
      </w:pPr>
      <w:r>
        <w:t xml:space="preserve">Capex guidance is maintained.</w:t>
      </w:r>
    </w:p>
    <w:p>
      <w:pPr>
        <w:pStyle w:val="Compact"/>
        <w:numPr>
          <w:ilvl w:val="0"/>
          <w:numId w:val="1010"/>
        </w:numPr>
      </w:pPr>
      <w:r>
        <w:t xml:space="preserve">FY2027 guidance reiterates double-digit growth without stronger margin detail.</w:t>
      </w:r>
    </w:p>
    <w:p>
      <w:pPr>
        <w:pStyle w:val="FirstParagraph"/>
      </w:pPr>
      <w:r>
        <w:rPr>
          <w:b/>
          <w:bCs/>
        </w:rPr>
        <w:t xml:space="preserve">Likely interpretation:</w:t>
      </w:r>
      <w:r>
        <w:t xml:space="preserve"> </w:t>
      </w:r>
      <w:r>
        <w:t xml:space="preserve">Fundamentally solid, but insufficient to resolve the AI return-on-investment debate. The stock reaction could be muted or highly dependent on call commentary.</w:t>
      </w:r>
    </w:p>
    <w:bookmarkEnd w:id="23"/>
    <w:bookmarkStart w:id="24" w:name="bear-case"/>
    <w:p>
      <w:pPr>
        <w:pStyle w:val="Heading3"/>
      </w:pPr>
      <w:r>
        <w:t xml:space="preserve">Bear case</w:t>
      </w:r>
    </w:p>
    <w:p>
      <w:pPr>
        <w:pStyle w:val="Compact"/>
        <w:numPr>
          <w:ilvl w:val="0"/>
          <w:numId w:val="1011"/>
        </w:numPr>
      </w:pPr>
      <w:r>
        <w:t xml:space="preserve">Azure growth below 39%, or capacity delays continue.</w:t>
      </w:r>
    </w:p>
    <w:p>
      <w:pPr>
        <w:pStyle w:val="Compact"/>
        <w:numPr>
          <w:ilvl w:val="0"/>
          <w:numId w:val="1011"/>
        </w:numPr>
      </w:pPr>
      <w:r>
        <w:t xml:space="preserve">Capex is raised above the existing $190 billion plan.</w:t>
      </w:r>
    </w:p>
    <w:p>
      <w:pPr>
        <w:pStyle w:val="Compact"/>
        <w:numPr>
          <w:ilvl w:val="0"/>
          <w:numId w:val="1011"/>
        </w:numPr>
      </w:pPr>
      <w:r>
        <w:t xml:space="preserve">Microsoft Cloud gross margin misses the approximately 64% outlook.</w:t>
      </w:r>
    </w:p>
    <w:p>
      <w:pPr>
        <w:pStyle w:val="Compact"/>
        <w:numPr>
          <w:ilvl w:val="0"/>
          <w:numId w:val="1011"/>
        </w:numPr>
      </w:pPr>
      <w:r>
        <w:t xml:space="preserve">Copilot growth slows or management avoids updated adoption metrics.</w:t>
      </w:r>
    </w:p>
    <w:p>
      <w:pPr>
        <w:pStyle w:val="Compact"/>
        <w:numPr>
          <w:ilvl w:val="0"/>
          <w:numId w:val="1011"/>
        </w:numPr>
      </w:pPr>
      <w:r>
        <w:t xml:space="preserve">FY2027 guidance implies weaker free cash flow or sustained margin compression.</w:t>
      </w:r>
    </w:p>
    <w:p>
      <w:pPr>
        <w:pStyle w:val="Compact"/>
        <w:numPr>
          <w:ilvl w:val="0"/>
          <w:numId w:val="1011"/>
        </w:numPr>
      </w:pPr>
      <w:r>
        <w:t xml:space="preserve">Bookings excluding OpenAI weaken.</w:t>
      </w:r>
    </w:p>
    <w:p>
      <w:pPr>
        <w:pStyle w:val="FirstParagraph"/>
      </w:pPr>
      <w:r>
        <w:rPr>
          <w:b/>
          <w:bCs/>
        </w:rPr>
        <w:t xml:space="preserve">Likely interpretation:</w:t>
      </w:r>
      <w:r>
        <w:t xml:space="preserve"> </w:t>
      </w:r>
      <w:r>
        <w:t xml:space="preserve">The timing gap between infrastructure spending and monetization is widening, reinforcing concerns that estimates and valuation still need to reset.</w:t>
      </w:r>
    </w:p>
    <w:p>
      <w:r>
        <w:pict>
          <v:rect style="width:0;height:1.5pt" o:hralign="center" o:hrstd="t" o:hr="t"/>
        </w:pict>
      </w:r>
    </w:p>
    <w:bookmarkEnd w:id="24"/>
    <w:bookmarkEnd w:id="25"/>
    <w:bookmarkStart w:id="26" w:name="bottom-line"/>
    <w:p>
      <w:pPr>
        <w:pStyle w:val="Heading2"/>
      </w:pPr>
      <w:r>
        <w:t xml:space="preserve">Bottom line</w:t>
      </w:r>
    </w:p>
    <w:p>
      <w:pPr>
        <w:pStyle w:val="FirstParagraph"/>
      </w:pPr>
      <w:r>
        <w:t xml:space="preserve">Microsoft’s quarterly revenue and EPS numbers should be healthy. The investment decision, however, turns on whether management can connect three pieces of the story:</w:t>
      </w:r>
    </w:p>
    <w:p>
      <w:pPr>
        <w:pStyle w:val="BlockText"/>
      </w:pPr>
      <w:r>
        <w:rPr>
          <w:b/>
          <w:bCs/>
        </w:rPr>
        <w:t xml:space="preserve">New capacity → faster Azure and Copilot growth → attractive margins and cash returns.</w:t>
      </w:r>
    </w:p>
    <w:p>
      <w:pPr>
        <w:pStyle w:val="FirstParagraph"/>
      </w:pPr>
      <w:r>
        <w:t xml:space="preserve">A modest headline beat accompanied by higher capex would probably not be enough. The strongest outcome would combine</w:t>
      </w:r>
      <w:r>
        <w:t xml:space="preserve"> </w:t>
      </w:r>
      <w:r>
        <w:rPr>
          <w:b/>
          <w:bCs/>
        </w:rPr>
        <w:t xml:space="preserve">Azure growth above 40%, accelerating Copilot monetization, unchanged spending guidance and credible fiscal-2027 operating leverage</w:t>
      </w:r>
      <w:r>
        <w:t xml:space="preserve">. Conversely, another spending increase without stronger revenue conversion would likely overshadow otherwise good results.</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news.microsoft.com/source/2026/07/08/microsoft-announces-quarterly-earnings-release-date-68/?utm_source=openai" TargetMode="External" /><Relationship Type="http://schemas.openxmlformats.org/officeDocument/2006/relationships/hyperlink" Id="rId14" Target="https://www.investing.com/news/stock-market-news/google-quarterly-cloud-revenue-growth-beats-expectations-4806844?utm_source=openai" TargetMode="External" /><Relationship Type="http://schemas.openxmlformats.org/officeDocument/2006/relationships/hyperlink" Id="rId11" Target="https://www.microsoft.com/en-us/investor/events/fy-2026/earnings-fy-2026-q3?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news.microsoft.com/source/2026/07/08/microsoft-announces-quarterly-earnings-release-date-68/?utm_source=openai" TargetMode="External" /><Relationship Type="http://schemas.openxmlformats.org/officeDocument/2006/relationships/hyperlink" Id="rId14" Target="https://www.investing.com/news/stock-market-news/google-quarterly-cloud-revenue-growth-beats-expectations-4806844?utm_source=openai" TargetMode="External" /><Relationship Type="http://schemas.openxmlformats.org/officeDocument/2006/relationships/hyperlink" Id="rId11" Target="https://www.microsoft.com/en-us/investor/events/fy-2026/earnings-fy-2026-q3?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2026-07-29T01:50:03Z</dcterms:created>
  <dcterms:modified xsi:type="dcterms:W3CDTF">2026-07-29T01:50:03Z</dcterms:modified>
</cp:coreProperties>
</file>

<file path=docProps/custom.xml><?xml version="1.0" encoding="utf-8"?>
<Properties xmlns="http://schemas.openxmlformats.org/officeDocument/2006/custom-properties" xmlns:vt="http://schemas.openxmlformats.org/officeDocument/2006/docPropsVTypes"/>
</file>