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sft-earnings-predictions--2026-07-29"/>
    <w:p>
      <w:pPr>
        <w:pStyle w:val="Heading1"/>
      </w:pPr>
      <w:r>
        <w:t xml:space="preserve">MSFT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~$4.28 vs. cons $4.17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Azure and other cloud services growth (constant currency)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~41.0% vs. cons 39.8%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~$88.10B vs. cons $87.55B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Q1 Azure and other cloud services growth (constant currency)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~41.0% vs. cons 40.0% (FY27 Q1)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Q1 total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~$95.90B vs. cons $94.80B (FY27 Q1)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Calendar-2026 capital expenditures and finance leases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~$195.0B vs. cons $190.1B (CY2026)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Q1 Microsoft Cloud gross margin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~63.5% vs. cons 64.0% (FY27 Q1)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MSFT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Azure growth pred ~41.0% versus cons 39.8% and EPS pred ~$4.28 versus cons</w:t>
            </w:r>
            <w:r>
              <w:t xml:space="preserve"> </w:t>
            </w:r>
            <m:oMath>
              <m:r>
                <m:t>4.17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l</m:t>
              </m:r>
              <m:r>
                <m:t>y</m:t>
              </m:r>
              <m:r>
                <m:t>o</m:t>
              </m:r>
              <m:r>
                <m:t>u</m:t>
              </m:r>
              <m:r>
                <m:t>t</m:t>
              </m:r>
              <m:r>
                <m:t>w</m:t>
              </m:r>
              <m:r>
                <m:t>e</m:t>
              </m:r>
              <m:r>
                <m:t>i</m:t>
              </m:r>
              <m:r>
                <m:t>g</m:t>
              </m:r>
              <m:r>
                <m:t>h</m:t>
              </m:r>
              <m:r>
                <m:t>c</m:t>
              </m:r>
              <m:r>
                <m:t>a</m:t>
              </m:r>
              <m:r>
                <m:t>p</m:t>
              </m:r>
              <m:r>
                <m:t>e</m:t>
              </m:r>
              <m:r>
                <m:t>x</m:t>
              </m:r>
              <m:r>
                <m:t>a</m:t>
              </m:r>
              <m:r>
                <m:t>n</m:t>
              </m:r>
              <m:r>
                <m:t>x</m:t>
              </m:r>
              <m:r>
                <m:t>i</m:t>
              </m:r>
              <m:r>
                <m:t>e</m:t>
              </m:r>
              <m:r>
                <m:t>t</m:t>
              </m:r>
              <m:r>
                <m:t>y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a</m:t>
              </m:r>
              <m:r>
                <m:t>C</m:t>
              </m:r>
              <m:r>
                <m:t>Y</m:t>
              </m:r>
              <m:r>
                <m:t>2026</m:t>
              </m:r>
              <m:r>
                <m:t>c</m:t>
              </m:r>
              <m:r>
                <m:t>a</m:t>
              </m:r>
              <m:r>
                <m:t>p</m:t>
              </m:r>
              <m:r>
                <m:t>e</m:t>
              </m:r>
              <m:r>
                <m:t>x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n</m:t>
              </m:r>
              <m:r>
                <m:t>e</m:t>
              </m:r>
              <m:r>
                <m:t>a</m:t>
              </m:r>
              <m:r>
                <m:t>r</m:t>
              </m:r>
              <m:r>
                <m:t> </m:t>
              </m:r>
            </m:oMath>
            <w:r>
              <w:t xml:space="preserve">195.0B versus cons $190.1B plus cloud-margin guide near ~63.5% versus cons 64.0% limits FY27 free-cash-flow and margin upside; estimate revisions should moderate after the initial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2026-07-29T01:49:19Z</dcterms:created>
  <dcterms:modified xsi:type="dcterms:W3CDTF">2026-07-29T01:49:19Z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