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microsoft-msft-fy26-q4-earnings-preview"/>
    <w:p>
      <w:pPr>
        <w:pStyle w:val="Heading1"/>
      </w:pPr>
      <w:r>
        <w:t xml:space="preserve">Microsoft (MSFT) FY26 Q4 Earnings Preview</w:t>
      </w:r>
    </w:p>
    <w:p>
      <w:pPr>
        <w:pStyle w:val="BlockText"/>
      </w:pPr>
      <w:r>
        <w:rPr>
          <w:b/>
          <w:bCs/>
        </w:rPr>
        <w:t xml:space="preserve">Timing note:</w:t>
      </w:r>
      <w:r>
        <w:t xml:space="preserve"> </w:t>
      </w:r>
      <w:r>
        <w:t xml:space="preserve">Microsoft is scheduled to report fiscal Q4 2026 results</w:t>
      </w:r>
      <w:r>
        <w:t xml:space="preserve"> </w:t>
      </w:r>
      <w:r>
        <w:rPr>
          <w:b/>
          <w:bCs/>
        </w:rPr>
        <w:t xml:space="preserve">after the market close on Wednesday, July 29, 2026</w:t>
      </w:r>
      <w:r>
        <w:t xml:space="preserve">, with its earnings call at</w:t>
      </w:r>
      <w:r>
        <w:t xml:space="preserve"> </w:t>
      </w:r>
      <w:r>
        <w:rPr>
          <w:b/>
          <w:bCs/>
        </w:rPr>
        <w:t xml:space="preserve">5:30 p.m. ET</w:t>
      </w:r>
      <w:r>
        <w:t xml:space="preserve">. Despite the prompt’s wording, that is</w:t>
      </w:r>
      <w:r>
        <w:t xml:space="preserve"> </w:t>
      </w:r>
      <w:r>
        <w:rPr>
          <w:b/>
          <w:bCs/>
        </w:rPr>
        <w:t xml:space="preserve">today</w:t>
      </w:r>
      <w:r>
        <w:t xml:space="preserve">, not tomorrow.</w:t>
      </w:r>
    </w:p>
    <w:bookmarkStart w:id="9" w:name="Xbfd4a1f3c6dd16e55328ec5e2a13daa13d8400b"/>
    <w:p>
      <w:pPr>
        <w:pStyle w:val="Heading2"/>
      </w:pPr>
      <w:r>
        <w:t xml:space="preserve">Investment view: execution is strong; the debate is whether AI returns can keep pace with AI investment</w:t>
      </w:r>
    </w:p>
    <w:p>
      <w:pPr>
        <w:pStyle w:val="FirstParagraph"/>
      </w:pPr>
      <w:r>
        <w:t xml:space="preserve">Microsoft enters the print with its core operating momentum intact. Azure demand remains capacity-constrained, Microsoft 365 Copilot adoption is accelerating, and the company has begun to show a more credible “user-plus-usage” monetization model across productivity, coding, security, and business applications.</w:t>
      </w:r>
    </w:p>
    <w:p>
      <w:pPr>
        <w:pStyle w:val="BodyText"/>
      </w:pPr>
      <w:r>
        <w:t xml:space="preserve">But this quarter is unlikely to be judged on the headline revenue or EPS beat alone. The stock’s near-term reaction will likely hinge on three linked questions:</w:t>
      </w:r>
    </w:p>
    <w:p>
      <w:pPr>
        <w:pStyle w:val="Compact"/>
        <w:numPr>
          <w:ilvl w:val="0"/>
          <w:numId w:val="1001"/>
        </w:numPr>
      </w:pPr>
      <w:r>
        <w:rPr>
          <w:b/>
          <w:bCs/>
        </w:rPr>
        <w:t xml:space="preserve">Can Azure growth accelerate despite capacity constraints?</w:t>
      </w:r>
    </w:p>
    <w:p>
      <w:pPr>
        <w:pStyle w:val="Compact"/>
        <w:numPr>
          <w:ilvl w:val="0"/>
          <w:numId w:val="1001"/>
        </w:numPr>
      </w:pPr>
      <w:r>
        <w:rPr>
          <w:b/>
          <w:bCs/>
        </w:rPr>
        <w:t xml:space="preserve">Is Copilot monetization visibly improving—through paid-seat additions, ARPU, and consumption?</w:t>
      </w:r>
    </w:p>
    <w:p>
      <w:pPr>
        <w:pStyle w:val="Compact"/>
        <w:numPr>
          <w:ilvl w:val="0"/>
          <w:numId w:val="1001"/>
        </w:numPr>
      </w:pPr>
      <w:r>
        <w:rPr>
          <w:b/>
          <w:bCs/>
        </w:rPr>
        <w:t xml:space="preserve">Can management defend rising CapEx with evidence of revenue conversion, efficiency gains, and durable margins?</w:t>
      </w:r>
    </w:p>
    <w:p>
      <w:pPr>
        <w:pStyle w:val="FirstParagraph"/>
      </w:pPr>
      <w:r>
        <w:t xml:space="preserve">The setup is therefore constructive operationally but demanding financially. MSFT closed July 28 at $393.39—about</w:t>
      </w:r>
      <w:r>
        <w:t xml:space="preserve"> </w:t>
      </w:r>
      <w:r>
        <w:rPr>
          <w:b/>
          <w:bCs/>
        </w:rPr>
        <w:t xml:space="preserve">14.6% below</w:t>
      </w:r>
      <w:r>
        <w:t xml:space="preserve"> </w:t>
      </w:r>
      <w:r>
        <w:t xml:space="preserve">its June 1 close, though roughly</w:t>
      </w:r>
      <w:r>
        <w:t xml:space="preserve"> </w:t>
      </w:r>
      <w:r>
        <w:rPr>
          <w:b/>
          <w:bCs/>
        </w:rPr>
        <w:t xml:space="preserve">3.1% above</w:t>
      </w:r>
      <w:r>
        <w:t xml:space="preserve"> </w:t>
      </w:r>
      <w:r>
        <w:t xml:space="preserve">its July 23 trough—reflecting both skepticism over hyperscaler CapEx and an expectation that Microsoft needs to demonstrate a clearer AI payback path.</w:t>
      </w:r>
    </w:p>
    <w:p>
      <w:r>
        <w:pict>
          <v:rect style="width:0;height:1.5pt" o:hralign="center" o:hrstd="t" o:hr="t"/>
        </w:pict>
      </w:r>
    </w:p>
    <w:bookmarkEnd w:id="9"/>
    <w:bookmarkStart w:id="11" w:name="what-microsoft-guided-for"/>
    <w:p>
      <w:pPr>
        <w:pStyle w:val="Heading2"/>
      </w:pPr>
      <w:r>
        <w:t xml:space="preserve">What Microsoft guided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Q4 guidance</w:t>
            </w:r>
          </w:p>
        </w:tc>
        <w:tc>
          <w:tcPr/>
          <w:p>
            <w:pPr>
              <w:pStyle w:val="Compact"/>
              <w:jc w:val="right"/>
            </w:pPr>
            <w:r>
              <w:t xml:space="preserve">Outlook</w:t>
            </w:r>
          </w:p>
        </w:tc>
      </w:tr>
      <w:tr>
        <w:tc>
          <w:tcPr/>
          <w:p>
            <w:pPr>
              <w:pStyle w:val="Compact"/>
            </w:pPr>
            <w:r>
              <w:rPr>
                <w:b/>
                <w:bCs/>
              </w:rPr>
              <w:t xml:space="preserve">Total revenue</w:t>
            </w:r>
          </w:p>
        </w:tc>
        <w:tc>
          <w:tcPr/>
          <w:p>
            <w:pPr>
              <w:pStyle w:val="Compact"/>
              <w:jc w:val="right"/>
            </w:pPr>
            <m:oMath>
              <m:r>
                <m:t>86.7</m:t>
              </m:r>
              <m:r>
                <m:t>B</m:t>
              </m:r>
              <m:r>
                <m:rPr>
                  <m:sty m:val="p"/>
                </m:rPr>
                <m:t>–</m:t>
              </m:r>
            </m:oMath>
            <w:r>
              <w:rPr>
                <w:b/>
                <w:bCs/>
              </w:rPr>
              <w:t xml:space="preserve">87.8B</w:t>
            </w:r>
          </w:p>
        </w:tc>
      </w:tr>
      <w:tr>
        <w:tc>
          <w:tcPr/>
          <w:p>
            <w:pPr>
              <w:pStyle w:val="Compact"/>
            </w:pPr>
            <w:r>
              <w:rPr>
                <w:b/>
                <w:bCs/>
              </w:rPr>
              <w:t xml:space="preserve">Productivity &amp; Business Processes</w:t>
            </w:r>
          </w:p>
        </w:tc>
        <w:tc>
          <w:tcPr/>
          <w:p>
            <w:pPr>
              <w:pStyle w:val="Compact"/>
              <w:jc w:val="right"/>
            </w:pPr>
            <m:oMath>
              <m:r>
                <m:t>37.0</m:t>
              </m:r>
              <m:r>
                <m:t>B</m:t>
              </m:r>
              <m:r>
                <m:rPr>
                  <m:sty m:val="p"/>
                </m:rPr>
                <m:t>–</m:t>
              </m:r>
            </m:oMath>
            <w:r>
              <w:rPr>
                <w:b/>
                <w:bCs/>
              </w:rPr>
              <w:t xml:space="preserve">37.3B</w:t>
            </w:r>
          </w:p>
        </w:tc>
      </w:tr>
      <w:tr>
        <w:tc>
          <w:tcPr/>
          <w:p>
            <w:pPr>
              <w:pStyle w:val="Compact"/>
            </w:pPr>
            <w:r>
              <w:rPr>
                <w:b/>
                <w:bCs/>
              </w:rPr>
              <w:t xml:space="preserve">Intelligent Cloud</w:t>
            </w:r>
          </w:p>
        </w:tc>
        <w:tc>
          <w:tcPr/>
          <w:p>
            <w:pPr>
              <w:pStyle w:val="Compact"/>
              <w:jc w:val="right"/>
            </w:pPr>
            <m:oMath>
              <m:r>
                <m:t>37.95</m:t>
              </m:r>
              <m:r>
                <m:t>B</m:t>
              </m:r>
              <m:r>
                <m:rPr>
                  <m:sty m:val="p"/>
                </m:rPr>
                <m:t>–</m:t>
              </m:r>
            </m:oMath>
            <w:r>
              <w:rPr>
                <w:b/>
                <w:bCs/>
              </w:rPr>
              <w:t xml:space="preserve">38.25B</w:t>
            </w:r>
          </w:p>
        </w:tc>
      </w:tr>
      <w:tr>
        <w:tc>
          <w:tcPr/>
          <w:p>
            <w:pPr>
              <w:pStyle w:val="Compact"/>
            </w:pPr>
            <w:r>
              <w:rPr>
                <w:b/>
                <w:bCs/>
              </w:rPr>
              <w:t xml:space="preserve">More Personal Computing</w:t>
            </w:r>
          </w:p>
        </w:tc>
        <w:tc>
          <w:tcPr/>
          <w:p>
            <w:pPr>
              <w:pStyle w:val="Compact"/>
              <w:jc w:val="right"/>
            </w:pPr>
            <m:oMath>
              <m:r>
                <m:t>11.75</m:t>
              </m:r>
              <m:r>
                <m:t>B</m:t>
              </m:r>
              <m:r>
                <m:rPr>
                  <m:sty m:val="p"/>
                </m:rPr>
                <m:t>–</m:t>
              </m:r>
            </m:oMath>
            <w:r>
              <w:rPr>
                <w:b/>
                <w:bCs/>
              </w:rPr>
              <w:t xml:space="preserve">12.25B</w:t>
            </w:r>
          </w:p>
        </w:tc>
      </w:tr>
      <w:tr>
        <w:tc>
          <w:tcPr/>
          <w:p>
            <w:pPr>
              <w:pStyle w:val="Compact"/>
            </w:pPr>
            <w:r>
              <w:rPr>
                <w:b/>
                <w:bCs/>
              </w:rPr>
              <w:t xml:space="preserve">Azure &amp; other cloud services growth</w:t>
            </w:r>
          </w:p>
        </w:tc>
        <w:tc>
          <w:tcPr/>
          <w:p>
            <w:pPr>
              <w:pStyle w:val="Compact"/>
              <w:jc w:val="right"/>
            </w:pPr>
            <w:r>
              <w:rPr>
                <w:b/>
                <w:bCs/>
              </w:rPr>
              <w:t xml:space="preserve">39%–40% constant currency</w:t>
            </w:r>
          </w:p>
        </w:tc>
      </w:tr>
      <w:tr>
        <w:tc>
          <w:tcPr/>
          <w:p>
            <w:pPr>
              <w:pStyle w:val="Compact"/>
            </w:pPr>
            <w:r>
              <w:rPr>
                <w:b/>
                <w:bCs/>
              </w:rPr>
              <w:t xml:space="preserve">Microsoft 365 Commercial Cloud growth</w:t>
            </w:r>
          </w:p>
        </w:tc>
        <w:tc>
          <w:tcPr/>
          <w:p>
            <w:pPr>
              <w:pStyle w:val="Compact"/>
              <w:jc w:val="right"/>
            </w:pPr>
            <w:r>
              <w:rPr>
                <w:b/>
                <w:bCs/>
              </w:rPr>
              <w:t xml:space="preserve">13%–14% constant currency reported</w:t>
            </w:r>
            <w:r>
              <w:t xml:space="preserve">;</w:t>
            </w:r>
            <w:r>
              <w:t xml:space="preserve"> </w:t>
            </w:r>
            <w:r>
              <w:rPr>
                <w:b/>
                <w:bCs/>
              </w:rPr>
              <w:t xml:space="preserve">15%–16% normalized</w:t>
            </w:r>
          </w:p>
        </w:tc>
      </w:tr>
      <w:tr>
        <w:tc>
          <w:tcPr/>
          <w:p>
            <w:pPr>
              <w:pStyle w:val="Compact"/>
            </w:pPr>
            <w:r>
              <w:rPr>
                <w:b/>
                <w:bCs/>
              </w:rPr>
              <w:t xml:space="preserve">COGS</w:t>
            </w:r>
          </w:p>
        </w:tc>
        <w:tc>
          <w:tcPr/>
          <w:p>
            <w:pPr>
              <w:pStyle w:val="Compact"/>
              <w:jc w:val="right"/>
            </w:pPr>
            <m:oMath>
              <m:r>
                <m:t>29.4</m:t>
              </m:r>
              <m:r>
                <m:t>B</m:t>
              </m:r>
              <m:r>
                <m:rPr>
                  <m:sty m:val="p"/>
                </m:rPr>
                <m:t>–</m:t>
              </m:r>
            </m:oMath>
            <w:r>
              <w:rPr>
                <w:b/>
                <w:bCs/>
              </w:rPr>
              <w:t xml:space="preserve">29.6B</w:t>
            </w:r>
          </w:p>
        </w:tc>
      </w:tr>
      <w:tr>
        <w:tc>
          <w:tcPr/>
          <w:p>
            <w:pPr>
              <w:pStyle w:val="Compact"/>
            </w:pPr>
            <w:r>
              <w:rPr>
                <w:b/>
                <w:bCs/>
              </w:rPr>
              <w:t xml:space="preserve">Operating expenses</w:t>
            </w:r>
          </w:p>
        </w:tc>
        <w:tc>
          <w:tcPr/>
          <w:p>
            <w:pPr>
              <w:pStyle w:val="Compact"/>
              <w:jc w:val="right"/>
            </w:pPr>
            <m:oMath>
              <m:r>
                <m:t>19.3</m:t>
              </m:r>
              <m:r>
                <m:t>B</m:t>
              </m:r>
              <m:r>
                <m:rPr>
                  <m:sty m:val="p"/>
                </m:rPr>
                <m:t>–</m:t>
              </m:r>
            </m:oMath>
            <w:r>
              <w:rPr>
                <w:b/>
                <w:bCs/>
              </w:rPr>
              <w:t xml:space="preserve">19.4B</w:t>
            </w:r>
          </w:p>
        </w:tc>
      </w:tr>
      <w:tr>
        <w:tc>
          <w:tcPr/>
          <w:p>
            <w:pPr>
              <w:pStyle w:val="Compact"/>
            </w:pPr>
            <w:r>
              <w:rPr>
                <w:b/>
                <w:bCs/>
              </w:rPr>
              <w:t xml:space="preserve">Microsoft Cloud gross margin</w:t>
            </w:r>
          </w:p>
        </w:tc>
        <w:tc>
          <w:tcPr/>
          <w:p>
            <w:pPr>
              <w:pStyle w:val="Compact"/>
              <w:jc w:val="right"/>
            </w:pPr>
            <w:r>
              <w:t xml:space="preserve">Approximately</w:t>
            </w:r>
            <w:r>
              <w:t xml:space="preserve"> </w:t>
            </w:r>
            <w:r>
              <w:rPr>
                <w:b/>
                <w:bCs/>
              </w:rPr>
              <w:t xml:space="preserve">64%</w:t>
            </w:r>
          </w:p>
        </w:tc>
      </w:tr>
      <w:tr>
        <w:tc>
          <w:tcPr/>
          <w:p>
            <w:pPr>
              <w:pStyle w:val="Compact"/>
            </w:pPr>
            <w:r>
              <w:rPr>
                <w:b/>
                <w:bCs/>
              </w:rPr>
              <w:t xml:space="preserve">Q4 CapEx</w:t>
            </w:r>
          </w:p>
        </w:tc>
        <w:tc>
          <w:tcPr/>
          <w:p>
            <w:pPr>
              <w:pStyle w:val="Compact"/>
              <w:jc w:val="right"/>
            </w:pPr>
            <w:r>
              <w:rPr>
                <w:b/>
                <w:bCs/>
              </w:rPr>
              <w:t xml:space="preserve">Over $40B</w:t>
            </w:r>
          </w:p>
        </w:tc>
      </w:tr>
      <w:tr>
        <w:tc>
          <w:tcPr/>
          <w:p>
            <w:pPr>
              <w:pStyle w:val="Compact"/>
            </w:pPr>
            <w:r>
              <w:rPr>
                <w:b/>
                <w:bCs/>
              </w:rPr>
              <w:t xml:space="preserve">Calendar 2026 CapEx</w:t>
            </w:r>
          </w:p>
        </w:tc>
        <w:tc>
          <w:tcPr/>
          <w:p>
            <w:pPr>
              <w:pStyle w:val="Compact"/>
              <w:jc w:val="right"/>
            </w:pPr>
            <w:r>
              <w:t xml:space="preserve">Approximately</w:t>
            </w:r>
            <w:r>
              <w:t xml:space="preserve"> </w:t>
            </w:r>
            <m:oMath>
              <m:r>
                <m:t>190</m:t>
              </m:r>
              <m:r>
                <m:t>B</m:t>
              </m:r>
              <m:r>
                <m:rPr>
                  <m:sty m:val="p"/>
                </m:rPr>
                <m:t>*</m:t>
              </m:r>
              <m:r>
                <m:rPr>
                  <m:sty m:val="p"/>
                </m:rPr>
                <m:t>*</m:t>
              </m:r>
              <m:r>
                <m:rPr>
                  <m:sty m:val="p"/>
                </m:rPr>
                <m:t>,</m:t>
              </m:r>
              <m:r>
                <m:t>i</m:t>
              </m:r>
              <m:r>
                <m:t>n</m:t>
              </m:r>
              <m:r>
                <m:t>c</m:t>
              </m:r>
              <m:r>
                <m:t>l</m:t>
              </m:r>
              <m:r>
                <m:t>u</m:t>
              </m:r>
              <m:r>
                <m:t>d</m:t>
              </m:r>
              <m:r>
                <m:t>i</m:t>
              </m:r>
              <m:r>
                <m:t>n</m:t>
              </m:r>
              <m:r>
                <m:t>g</m:t>
              </m:r>
              <m:r>
                <m:t>a</m:t>
              </m:r>
              <m:r>
                <m:t>b</m:t>
              </m:r>
              <m:r>
                <m:t>o</m:t>
              </m:r>
              <m:r>
                <m:t>u</m:t>
              </m:r>
              <m:r>
                <m:t>t</m:t>
              </m:r>
              <m:r>
                <m:rPr>
                  <m:sty m:val="p"/>
                </m:rPr>
                <m:t>*</m:t>
              </m:r>
              <m:r>
                <m:rPr>
                  <m:sty m:val="p"/>
                </m:rPr>
                <m:t>*</m:t>
              </m:r>
            </m:oMath>
            <w:r>
              <w:rPr>
                <w:b/>
                <w:bCs/>
              </w:rPr>
              <w:t xml:space="preserve">25B</w:t>
            </w:r>
            <w:r>
              <w:t xml:space="preserve"> </w:t>
            </w:r>
            <w:r>
              <w:t xml:space="preserve">from higher component prices</w:t>
            </w:r>
          </w:p>
        </w:tc>
      </w:tr>
    </w:tbl>
    <w:p>
      <w:pPr>
        <w:pStyle w:val="BodyText"/>
      </w:pPr>
      <w:r>
        <w:t xml:space="preserve">At the midpoint of Microsoft’s revenue, cost, tax, and share-count guidance, the framework implies roughly</w:t>
      </w:r>
      <w:r>
        <w:t xml:space="preserve"> </w:t>
      </w:r>
      <w:r>
        <w:rPr>
          <w:b/>
          <w:bCs/>
        </w:rPr>
        <w:t xml:space="preserve">$4.17 of adjusted EPS</w:t>
      </w:r>
      <w:r>
        <w:t xml:space="preserve">—before any variation from investment gains/losses or other non-operating items.</w:t>
      </w:r>
    </w:p>
    <w:bookmarkStart w:id="10" w:name="important-modeling-caveat"/>
    <w:p>
      <w:pPr>
        <w:pStyle w:val="Heading3"/>
      </w:pPr>
      <w:r>
        <w:t xml:space="preserve">Important modeling caveat</w:t>
      </w:r>
    </w:p>
    <w:p>
      <w:pPr>
        <w:pStyle w:val="FirstParagraph"/>
      </w:pPr>
      <w:r>
        <w:t xml:space="preserve">Management’s Q4 expense guide includes approximately</w:t>
      </w:r>
      <w:r>
        <w:t xml:space="preserve"> </w:t>
      </w:r>
      <w:r>
        <w:rPr>
          <w:b/>
          <w:bCs/>
        </w:rPr>
        <w:t xml:space="preserve">$900M of one-time costs</w:t>
      </w:r>
      <w:r>
        <w:t xml:space="preserve"> </w:t>
      </w:r>
      <w:r>
        <w:t xml:space="preserve">related to a voluntary retirement program:</w:t>
      </w:r>
    </w:p>
    <w:p>
      <w:pPr>
        <w:pStyle w:val="Compact"/>
        <w:numPr>
          <w:ilvl w:val="0"/>
          <w:numId w:val="1002"/>
        </w:numPr>
      </w:pPr>
      <w:r>
        <w:t xml:space="preserve">roughly</w:t>
      </w:r>
      <w:r>
        <w:t xml:space="preserve"> </w:t>
      </w:r>
      <w:r>
        <w:rPr>
          <w:b/>
          <w:bCs/>
        </w:rPr>
        <w:t xml:space="preserve">$350M</w:t>
      </w:r>
      <w:r>
        <w:t xml:space="preserve"> </w:t>
      </w:r>
      <w:r>
        <w:t xml:space="preserve">in cost of goods sold; and</w:t>
      </w:r>
    </w:p>
    <w:p>
      <w:pPr>
        <w:pStyle w:val="Compact"/>
        <w:numPr>
          <w:ilvl w:val="0"/>
          <w:numId w:val="1002"/>
        </w:numPr>
      </w:pPr>
      <w:r>
        <w:t xml:space="preserve">roughly</w:t>
      </w:r>
      <w:r>
        <w:t xml:space="preserve"> </w:t>
      </w:r>
      <w:r>
        <w:rPr>
          <w:b/>
          <w:bCs/>
        </w:rPr>
        <w:t xml:space="preserve">$550M</w:t>
      </w:r>
      <w:r>
        <w:t xml:space="preserve"> </w:t>
      </w:r>
      <w:r>
        <w:t xml:space="preserve">in operating expenses.</w:t>
      </w:r>
    </w:p>
    <w:p>
      <w:pPr>
        <w:pStyle w:val="FirstParagraph"/>
      </w:pPr>
      <w:r>
        <w:t xml:space="preserve">Investors should separate those costs from the underlying run-rate. The more consequential margin signal is whether Azure efficiency and higher-value AI usage can offset the structural drag from rapidly expanding infrastructure.</w:t>
      </w:r>
    </w:p>
    <w:p>
      <w:r>
        <w:pict>
          <v:rect style="width:0;height:1.5pt" o:hralign="center" o:hrstd="t" o:hr="t"/>
        </w:pict>
      </w:r>
    </w:p>
    <w:bookmarkEnd w:id="10"/>
    <w:bookmarkEnd w:id="11"/>
    <w:bookmarkStart w:id="12" w:name="the-three-numbers-that-matter-most"/>
    <w:p>
      <w:pPr>
        <w:pStyle w:val="Heading2"/>
      </w:pPr>
      <w:r>
        <w:t xml:space="preserve">The three numbers that matter most</w:t>
      </w:r>
    </w:p>
    <w:bookmarkEnd w:id="12"/>
    <w:bookmarkStart w:id="15" w:name="Xfd6235ba71bcc6daf239aaeac095768fed95669"/>
    <w:p>
      <w:pPr>
        <w:pStyle w:val="Heading2"/>
      </w:pPr>
      <w:r>
        <w:t xml:space="preserve">1. Azure growth and capacity conversion</w:t>
      </w:r>
    </w:p>
    <w:p>
      <w:pPr>
        <w:pStyle w:val="FirstParagraph"/>
      </w:pPr>
      <w:r>
        <w:t xml:space="preserve">Azure is the central KPI. Microsoft guided to</w:t>
      </w:r>
      <w:r>
        <w:t xml:space="preserve"> </w:t>
      </w:r>
      <w:r>
        <w:rPr>
          <w:b/>
          <w:bCs/>
        </w:rPr>
        <w:t xml:space="preserve">39%–40% constant-currency growth</w:t>
      </w:r>
      <w:r>
        <w:t xml:space="preserve">, essentially sustaining the 40% growth reported in FY26 Q3 despite a tough comparison.</w:t>
      </w:r>
    </w:p>
    <w:p>
      <w:pPr>
        <w:pStyle w:val="BodyText"/>
      </w:pPr>
      <w:r>
        <w:t xml:space="preserve">The Q3 result was stronger than expected because Microsoft delivered capacity earlier in the quarter, allowing higher consumption across both AI and non-AI workloads. Management continued to say that demand exceeds available supply and expects capacity constraints to persist through at least calendar 2026.</w:t>
      </w:r>
    </w:p>
    <w:bookmarkStart w:id="13" w:name="what-would-be-bullish"/>
    <w:p>
      <w:pPr>
        <w:pStyle w:val="Heading3"/>
      </w:pPr>
      <w:r>
        <w:t xml:space="preserve">What would be bullish</w:t>
      </w:r>
    </w:p>
    <w:p>
      <w:pPr>
        <w:pStyle w:val="Compact"/>
        <w:numPr>
          <w:ilvl w:val="0"/>
          <w:numId w:val="1003"/>
        </w:numPr>
      </w:pPr>
      <w:r>
        <w:t xml:space="preserve">Azure growth above the high end of the 39%–40% range.</w:t>
      </w:r>
    </w:p>
    <w:p>
      <w:pPr>
        <w:pStyle w:val="Compact"/>
        <w:numPr>
          <w:ilvl w:val="0"/>
          <w:numId w:val="1003"/>
        </w:numPr>
      </w:pPr>
      <w:r>
        <w:t xml:space="preserve">Evidence that capacity delivery is improving rather than merely shifting between quarters.</w:t>
      </w:r>
    </w:p>
    <w:p>
      <w:pPr>
        <w:pStyle w:val="Compact"/>
        <w:numPr>
          <w:ilvl w:val="0"/>
          <w:numId w:val="1003"/>
        </w:numPr>
      </w:pPr>
      <w:r>
        <w:t xml:space="preserve">Commentary supporting</w:t>
      </w:r>
      <w:r>
        <w:t xml:space="preserve"> </w:t>
      </w:r>
      <w:r>
        <w:rPr>
          <w:b/>
          <w:bCs/>
        </w:rPr>
        <w:t xml:space="preserve">modest Azure growth acceleration in the second half of calendar 2026</w:t>
      </w:r>
      <w:r>
        <w:t xml:space="preserve">.</w:t>
      </w:r>
    </w:p>
    <w:p>
      <w:pPr>
        <w:pStyle w:val="Compact"/>
        <w:numPr>
          <w:ilvl w:val="0"/>
          <w:numId w:val="1003"/>
        </w:numPr>
      </w:pPr>
      <w:r>
        <w:t xml:space="preserve">Signs that AI workloads are additive to the core cloud franchise rather than cannibalizing conventional workloads.</w:t>
      </w:r>
    </w:p>
    <w:bookmarkEnd w:id="13"/>
    <w:bookmarkStart w:id="14" w:name="what-would-disappoint"/>
    <w:p>
      <w:pPr>
        <w:pStyle w:val="Heading3"/>
      </w:pPr>
      <w:r>
        <w:t xml:space="preserve">What would disappoint</w:t>
      </w:r>
    </w:p>
    <w:p>
      <w:pPr>
        <w:pStyle w:val="Compact"/>
        <w:numPr>
          <w:ilvl w:val="0"/>
          <w:numId w:val="1004"/>
        </w:numPr>
      </w:pPr>
      <w:r>
        <w:t xml:space="preserve">Azure growth at or below the low end of the range, especially if management attributes it to supply bottlenecks.</w:t>
      </w:r>
    </w:p>
    <w:p>
      <w:pPr>
        <w:pStyle w:val="Compact"/>
        <w:numPr>
          <w:ilvl w:val="0"/>
          <w:numId w:val="1004"/>
        </w:numPr>
      </w:pPr>
      <w:r>
        <w:t xml:space="preserve">A higher CapEx outlook without a commensurately stronger revenue or capacity-conversion outlook.</w:t>
      </w:r>
    </w:p>
    <w:p>
      <w:pPr>
        <w:pStyle w:val="Compact"/>
        <w:numPr>
          <w:ilvl w:val="0"/>
          <w:numId w:val="1004"/>
        </w:numPr>
      </w:pPr>
      <w:r>
        <w:t xml:space="preserve">Incremental pressure on cloud gross margins without a more concrete efficiency or monetization offset.</w:t>
      </w:r>
    </w:p>
    <w:p>
      <w:r>
        <w:pict>
          <v:rect style="width:0;height:1.5pt" o:hralign="center" o:hrstd="t" o:hr="t"/>
        </w:pict>
      </w:r>
    </w:p>
    <w:bookmarkEnd w:id="14"/>
    <w:bookmarkEnd w:id="15"/>
    <w:bookmarkStart w:id="17" w:name="X750ea062531d7ed3acd7e3f42587cf6d5a8bb9f"/>
    <w:p>
      <w:pPr>
        <w:pStyle w:val="Heading2"/>
      </w:pPr>
      <w:r>
        <w:t xml:space="preserve">2. Copilot monetization: seats, ARPU, and usage</w:t>
      </w:r>
    </w:p>
    <w:p>
      <w:pPr>
        <w:pStyle w:val="FirstParagraph"/>
      </w:pPr>
      <w:r>
        <w:t xml:space="preserve">Microsoft’s AI application narrative is becoming increasingly important to the equity story. In Q3, the company reported:</w:t>
      </w:r>
    </w:p>
    <w:p>
      <w:pPr>
        <w:pStyle w:val="Compact"/>
        <w:numPr>
          <w:ilvl w:val="0"/>
          <w:numId w:val="1005"/>
        </w:numPr>
      </w:pPr>
      <w:r>
        <w:rPr>
          <w:b/>
          <w:bCs/>
        </w:rPr>
        <w:t xml:space="preserve">more than 20 million paid Microsoft 365 Copilot seats</w:t>
      </w:r>
      <w:r>
        <w:t xml:space="preserve">;</w:t>
      </w:r>
    </w:p>
    <w:p>
      <w:pPr>
        <w:pStyle w:val="Compact"/>
        <w:numPr>
          <w:ilvl w:val="0"/>
          <w:numId w:val="1005"/>
        </w:numPr>
      </w:pPr>
      <w:r>
        <w:t xml:space="preserve">Copilot seat additions growing</w:t>
      </w:r>
      <w:r>
        <w:t xml:space="preserve"> </w:t>
      </w:r>
      <w:r>
        <w:rPr>
          <w:b/>
          <w:bCs/>
        </w:rPr>
        <w:t xml:space="preserve">250% year over year</w:t>
      </w:r>
      <w:r>
        <w:t xml:space="preserve">;</w:t>
      </w:r>
    </w:p>
    <w:p>
      <w:pPr>
        <w:pStyle w:val="Compact"/>
        <w:numPr>
          <w:ilvl w:val="0"/>
          <w:numId w:val="1005"/>
        </w:numPr>
      </w:pPr>
      <w:r>
        <w:t xml:space="preserve">accelerating quarter-over-quarter net additions;</w:t>
      </w:r>
    </w:p>
    <w:p>
      <w:pPr>
        <w:pStyle w:val="Compact"/>
        <w:numPr>
          <w:ilvl w:val="0"/>
          <w:numId w:val="1005"/>
        </w:numPr>
      </w:pPr>
      <w:r>
        <w:t xml:space="preserve">weekly Copilot engagement reaching a level comparable with Outlook;</w:t>
      </w:r>
    </w:p>
    <w:p>
      <w:pPr>
        <w:pStyle w:val="Compact"/>
        <w:numPr>
          <w:ilvl w:val="0"/>
          <w:numId w:val="1005"/>
        </w:numPr>
      </w:pPr>
      <w:r>
        <w:t xml:space="preserve">growing usage across Microsoft 365, GitHub, security, and custom agents.</w:t>
      </w:r>
    </w:p>
    <w:p>
      <w:pPr>
        <w:pStyle w:val="FirstParagraph"/>
      </w:pPr>
      <w:r>
        <w:t xml:space="preserve">The key question is whether this momentum is beginning to translate into a larger and more durable revenue contribution.</w:t>
      </w:r>
    </w:p>
    <w:p>
      <w:pPr>
        <w:pStyle w:val="BodyText"/>
      </w:pPr>
      <w:r>
        <w:t xml:space="preserve">Microsoft expects Microsoft 365 Commercial Cloud growth of</w:t>
      </w:r>
      <w:r>
        <w:t xml:space="preserve"> </w:t>
      </w:r>
      <w:r>
        <w:rPr>
          <w:b/>
          <w:bCs/>
        </w:rPr>
        <w:t xml:space="preserve">13%–14% reported constant currency</w:t>
      </w:r>
      <w:r>
        <w:t xml:space="preserve">, or</w:t>
      </w:r>
      <w:r>
        <w:t xml:space="preserve"> </w:t>
      </w:r>
      <w:r>
        <w:rPr>
          <w:b/>
          <w:bCs/>
        </w:rPr>
        <w:t xml:space="preserve">15%–16% after normalizing</w:t>
      </w:r>
      <w:r>
        <w:t xml:space="preserve"> </w:t>
      </w:r>
      <w:r>
        <w:t xml:space="preserve">for a favorable prior-year in-period revenue recognition comparison. It also expects sequentially higher Copilot net paid-seat adds, supporting continued ARPU expansion.</w:t>
      </w:r>
    </w:p>
    <w:bookmarkStart w:id="16" w:name="what-to-listen-for"/>
    <w:p>
      <w:pPr>
        <w:pStyle w:val="Heading3"/>
      </w:pPr>
      <w:r>
        <w:t xml:space="preserve">What to listen for</w:t>
      </w:r>
    </w:p>
    <w:p>
      <w:pPr>
        <w:pStyle w:val="Compact"/>
        <w:numPr>
          <w:ilvl w:val="0"/>
          <w:numId w:val="1006"/>
        </w:numPr>
      </w:pPr>
      <w:r>
        <w:rPr>
          <w:b/>
          <w:bCs/>
        </w:rPr>
        <w:t xml:space="preserve">Net Copilot seat adds</w:t>
      </w:r>
      <w:r>
        <w:t xml:space="preserve"> </w:t>
      </w:r>
      <w:r>
        <w:t xml:space="preserve">and whether the company discloses a new total paid-seat figure.</w:t>
      </w:r>
    </w:p>
    <w:p>
      <w:pPr>
        <w:pStyle w:val="Compact"/>
        <w:numPr>
          <w:ilvl w:val="0"/>
          <w:numId w:val="1006"/>
        </w:numPr>
      </w:pPr>
      <w:r>
        <w:t xml:space="preserve">The mix of Copilot growth from large-enterprise deployments versus smaller customers.</w:t>
      </w:r>
    </w:p>
    <w:p>
      <w:pPr>
        <w:pStyle w:val="Compact"/>
        <w:numPr>
          <w:ilvl w:val="0"/>
          <w:numId w:val="1006"/>
        </w:numPr>
      </w:pPr>
      <w:r>
        <w:t xml:space="preserve">The pace of consumption-based revenue in Copilot Studio, GitHub Copilot, Dynamics, and security.</w:t>
      </w:r>
    </w:p>
    <w:p>
      <w:pPr>
        <w:pStyle w:val="Compact"/>
        <w:numPr>
          <w:ilvl w:val="0"/>
          <w:numId w:val="1006"/>
        </w:numPr>
      </w:pPr>
      <w:r>
        <w:t xml:space="preserve">Evidence that “seats plus consumption” is helping revenue rather than merely changing bookings timing.</w:t>
      </w:r>
    </w:p>
    <w:p>
      <w:pPr>
        <w:pStyle w:val="Compact"/>
        <w:numPr>
          <w:ilvl w:val="0"/>
          <w:numId w:val="1006"/>
        </w:numPr>
      </w:pPr>
      <w:r>
        <w:t xml:space="preserve">Whether Microsoft can identify measurable customer outcomes—revenue gains, labor productivity, support-resolution improvements, or software-development efficiency—that support higher AI spend.</w:t>
      </w:r>
    </w:p>
    <w:p>
      <w:pPr>
        <w:pStyle w:val="FirstParagraph"/>
      </w:pPr>
      <w:r>
        <w:t xml:space="preserve">The strategic significance is larger than a single product cycle: Microsoft is trying to convert its enormous installed base in Office, GitHub, Dynamics, and security into a recurring AI-consumption layer.</w:t>
      </w:r>
    </w:p>
    <w:p>
      <w:r>
        <w:pict>
          <v:rect style="width:0;height:1.5pt" o:hralign="center" o:hrstd="t" o:hr="t"/>
        </w:pict>
      </w:r>
    </w:p>
    <w:bookmarkEnd w:id="16"/>
    <w:bookmarkEnd w:id="17"/>
    <w:bookmarkStart w:id="20" w:name="Xc9b92e35fd7dc001b7fea2e0ad54aa3088f71f3"/>
    <w:p>
      <w:pPr>
        <w:pStyle w:val="Heading2"/>
      </w:pPr>
      <w:r>
        <w:t xml:space="preserve">3. CapEx, cloud margins, and free-cash-flow credibility</w:t>
      </w:r>
    </w:p>
    <w:p>
      <w:pPr>
        <w:pStyle w:val="FirstParagraph"/>
      </w:pPr>
      <w:r>
        <w:t xml:space="preserve">This is the quarter’s biggest investor debate.</w:t>
      </w:r>
    </w:p>
    <w:p>
      <w:pPr>
        <w:pStyle w:val="BodyText"/>
      </w:pPr>
      <w:r>
        <w:t xml:space="preserve">Microsoft expects to spend</w:t>
      </w:r>
      <w:r>
        <w:t xml:space="preserve"> </w:t>
      </w:r>
      <w:r>
        <w:rPr>
          <w:b/>
          <w:bCs/>
        </w:rPr>
        <w:t xml:space="preserve">more than</w:t>
      </w:r>
      <w:r>
        <w:rPr>
          <w:b/>
          <w:bCs/>
        </w:rPr>
        <w:t xml:space="preserve"> </w:t>
      </w:r>
      <m:oMath>
        <m:r>
          <m:t>40</m:t>
        </m:r>
        <m:r>
          <m:t>B</m:t>
        </m:r>
        <m:r>
          <m:rPr>
            <m:sty m:val="p"/>
          </m:rPr>
          <m:t>*</m:t>
        </m:r>
        <m:r>
          <m:rPr>
            <m:sty m:val="p"/>
          </m:rPr>
          <m:t>*</m:t>
        </m:r>
        <m:r>
          <m:t>i</m:t>
        </m:r>
        <m:r>
          <m:t>n</m:t>
        </m:r>
        <m:r>
          <m:t>Q</m:t>
        </m:r>
        <m:r>
          <m:t>4</m:t>
        </m:r>
        <m:r>
          <m:t>C</m:t>
        </m:r>
        <m:r>
          <m:t>a</m:t>
        </m:r>
        <m:r>
          <m:t>p</m:t>
        </m:r>
        <m:r>
          <m:t>E</m:t>
        </m:r>
        <m:r>
          <m:t>x</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190B</w:t>
      </w:r>
      <w:r>
        <w:t xml:space="preserve"> </w:t>
      </w:r>
      <w:r>
        <w:t xml:space="preserve">for calendar 2026. The company says roughly $25B of that annual total reflects higher component pricing, while the bulk of spending is aimed at GPUs, CPUs, storage, data-center capacity, and long-lived infrastructure.</w:t>
      </w:r>
    </w:p>
    <w:p>
      <w:pPr>
        <w:pStyle w:val="BodyText"/>
      </w:pPr>
      <w:r>
        <w:t xml:space="preserve">The concern is straightforward: AI demand may be robust, but investors need to see that incremental infrastructure is converting into revenue and eventually into acceptable returns.</w:t>
      </w:r>
    </w:p>
    <w:bookmarkStart w:id="18" w:name="the-balancing-positives"/>
    <w:p>
      <w:pPr>
        <w:pStyle w:val="Heading3"/>
      </w:pPr>
      <w:r>
        <w:t xml:space="preserve">The balancing positives</w:t>
      </w:r>
    </w:p>
    <w:p>
      <w:pPr>
        <w:pStyle w:val="Compact"/>
        <w:numPr>
          <w:ilvl w:val="0"/>
          <w:numId w:val="1007"/>
        </w:numPr>
      </w:pPr>
      <w:r>
        <w:t xml:space="preserve">In Q3, Microsoft Cloud revenue grew</w:t>
      </w:r>
      <w:r>
        <w:t xml:space="preserve"> </w:t>
      </w:r>
      <w:r>
        <w:rPr>
          <w:b/>
          <w:bCs/>
        </w:rPr>
        <w:t xml:space="preserve">29%</w:t>
      </w:r>
      <w:r>
        <w:t xml:space="preserve">, and Azure grew</w:t>
      </w:r>
      <w:r>
        <w:t xml:space="preserve"> </w:t>
      </w:r>
      <w:r>
        <w:rPr>
          <w:b/>
          <w:bCs/>
        </w:rPr>
        <w:t xml:space="preserve">40%</w:t>
      </w:r>
      <w:r>
        <w:t xml:space="preserve">.</w:t>
      </w:r>
    </w:p>
    <w:p>
      <w:pPr>
        <w:pStyle w:val="Compact"/>
        <w:numPr>
          <w:ilvl w:val="0"/>
          <w:numId w:val="1007"/>
        </w:numPr>
      </w:pPr>
      <w:r>
        <w:t xml:space="preserve">Commercial RPO reached</w:t>
      </w:r>
      <w:r>
        <w:t xml:space="preserve"> </w:t>
      </w:r>
      <w:r>
        <w:rPr>
          <w:b/>
          <w:bCs/>
        </w:rPr>
        <w:t xml:space="preserve">$627B</w:t>
      </w:r>
      <w:r>
        <w:t xml:space="preserve">, although the reported growth rate was meaningfully affected by OpenAI-related commitments.</w:t>
      </w:r>
    </w:p>
    <w:p>
      <w:pPr>
        <w:pStyle w:val="Compact"/>
        <w:numPr>
          <w:ilvl w:val="0"/>
          <w:numId w:val="1007"/>
        </w:numPr>
      </w:pPr>
      <w:r>
        <w:t xml:space="preserve">Approximately</w:t>
      </w:r>
      <w:r>
        <w:t xml:space="preserve"> </w:t>
      </w:r>
      <w:r>
        <w:rPr>
          <w:b/>
          <w:bCs/>
        </w:rPr>
        <w:t xml:space="preserve">25% of commercial RPO</w:t>
      </w:r>
      <w:r>
        <w:t xml:space="preserve"> </w:t>
      </w:r>
      <w:r>
        <w:t xml:space="preserve">is expected to be recognized over the next 12 months.</w:t>
      </w:r>
    </w:p>
    <w:p>
      <w:pPr>
        <w:pStyle w:val="Compact"/>
        <w:numPr>
          <w:ilvl w:val="0"/>
          <w:numId w:val="1007"/>
        </w:numPr>
      </w:pPr>
      <w:r>
        <w:t xml:space="preserve">Management cited improving software and hardware efficiency, including better inference throughput, faster GPU deployment, and expansion of internally designed silicon.</w:t>
      </w:r>
    </w:p>
    <w:bookmarkEnd w:id="18"/>
    <w:bookmarkStart w:id="19" w:name="the-balancing-risks"/>
    <w:p>
      <w:pPr>
        <w:pStyle w:val="Heading3"/>
      </w:pPr>
      <w:r>
        <w:t xml:space="preserve">The balancing risks</w:t>
      </w:r>
    </w:p>
    <w:p>
      <w:pPr>
        <w:pStyle w:val="Compact"/>
        <w:numPr>
          <w:ilvl w:val="0"/>
          <w:numId w:val="1008"/>
        </w:numPr>
      </w:pPr>
      <w:r>
        <w:t xml:space="preserve">Microsoft Cloud gross margin is guided to approximately</w:t>
      </w:r>
      <w:r>
        <w:t xml:space="preserve"> </w:t>
      </w:r>
      <w:r>
        <w:rPr>
          <w:b/>
          <w:bCs/>
        </w:rPr>
        <w:t xml:space="preserve">64%</w:t>
      </w:r>
      <w:r>
        <w:t xml:space="preserve"> </w:t>
      </w:r>
      <w:r>
        <w:t xml:space="preserve">in Q4, down from</w:t>
      </w:r>
      <w:r>
        <w:t xml:space="preserve"> </w:t>
      </w:r>
      <w:r>
        <w:rPr>
          <w:b/>
          <w:bCs/>
        </w:rPr>
        <w:t xml:space="preserve">66%</w:t>
      </w:r>
      <w:r>
        <w:t xml:space="preserve"> </w:t>
      </w:r>
      <w:r>
        <w:t xml:space="preserve">in Q3.</w:t>
      </w:r>
    </w:p>
    <w:p>
      <w:pPr>
        <w:pStyle w:val="Compact"/>
        <w:numPr>
          <w:ilvl w:val="0"/>
          <w:numId w:val="1008"/>
        </w:numPr>
      </w:pPr>
      <w:r>
        <w:t xml:space="preserve">Continued mix shift toward AI consumption may be margin-dilutive before scale and efficiency benefits fully materialize.</w:t>
      </w:r>
    </w:p>
    <w:p>
      <w:pPr>
        <w:pStyle w:val="Compact"/>
        <w:numPr>
          <w:ilvl w:val="0"/>
          <w:numId w:val="1008"/>
        </w:numPr>
      </w:pPr>
      <w:r>
        <w:t xml:space="preserve">Finance leases and large data-center commitments make cash-flow optics more complex.</w:t>
      </w:r>
    </w:p>
    <w:p>
      <w:pPr>
        <w:pStyle w:val="Compact"/>
        <w:numPr>
          <w:ilvl w:val="0"/>
          <w:numId w:val="1008"/>
        </w:numPr>
      </w:pPr>
      <w:r>
        <w:t xml:space="preserve">The market is increasingly intolerant of CapEx increases that are not paired with faster Azure growth, rising AI-app revenue, or a more convincing return framework.</w:t>
      </w:r>
    </w:p>
    <w:p>
      <w:pPr>
        <w:pStyle w:val="FirstParagraph"/>
      </w:pPr>
      <w:r>
        <w:t xml:space="preserve">For investors, the goal is not necessarily lower spending. It is</w:t>
      </w:r>
      <w:r>
        <w:t xml:space="preserve"> </w:t>
      </w:r>
      <w:r>
        <w:rPr>
          <w:b/>
          <w:bCs/>
        </w:rPr>
        <w:t xml:space="preserve">better evidence that spend is constrained by opportunity, not driven by competitive fear</w:t>
      </w:r>
      <w:r>
        <w:t xml:space="preserve">.</w:t>
      </w:r>
    </w:p>
    <w:p>
      <w:r>
        <w:pict>
          <v:rect style="width:0;height:1.5pt" o:hralign="center" o:hrstd="t" o:hr="t"/>
        </w:pict>
      </w:r>
    </w:p>
    <w:bookmarkEnd w:id="19"/>
    <w:bookmarkEnd w:id="20"/>
    <w:bookmarkStart w:id="24" w:name="segment-expectations"/>
    <w:p>
      <w:pPr>
        <w:pStyle w:val="Heading2"/>
      </w:pPr>
      <w:r>
        <w:t xml:space="preserve">Segment expectations</w:t>
      </w:r>
    </w:p>
    <w:bookmarkStart w:id="21" w:name="X849ef1fefa6a29d030c5de20e45497dc7c2f9ab"/>
    <w:p>
      <w:pPr>
        <w:pStyle w:val="Heading3"/>
      </w:pPr>
      <w:r>
        <w:t xml:space="preserve">Productivity &amp; Business Processes: durable growth, with Copilot as the upside lever</w:t>
      </w:r>
    </w:p>
    <w:p>
      <w:pPr>
        <w:pStyle w:val="FirstParagraph"/>
      </w:pPr>
      <w:r>
        <w:t xml:space="preserve">Microsoft guided segment revenue to</w:t>
      </w:r>
      <w:r>
        <w:t xml:space="preserve"> </w:t>
      </w:r>
      <m:oMath>
        <m:r>
          <m:t>37.0</m:t>
        </m:r>
        <m:r>
          <m:t>B</m:t>
        </m:r>
        <m:r>
          <m:rPr>
            <m:sty m:val="p"/>
          </m:rPr>
          <m:t>–</m:t>
        </m:r>
      </m:oMath>
      <w:r>
        <w:rPr>
          <w:b/>
          <w:bCs/>
        </w:rPr>
        <w:t xml:space="preserve">37.3B</w:t>
      </w:r>
      <w:r>
        <w:t xml:space="preserve">, or 12%–13% growth.</w:t>
      </w:r>
    </w:p>
    <w:p>
      <w:pPr>
        <w:pStyle w:val="BodyText"/>
      </w:pPr>
      <w:r>
        <w:t xml:space="preserve">Key drivers should include:</w:t>
      </w:r>
    </w:p>
    <w:p>
      <w:pPr>
        <w:pStyle w:val="Compact"/>
        <w:numPr>
          <w:ilvl w:val="0"/>
          <w:numId w:val="1009"/>
        </w:numPr>
      </w:pPr>
      <w:r>
        <w:t xml:space="preserve">Microsoft 365 Commercial Cloud;</w:t>
      </w:r>
    </w:p>
    <w:p>
      <w:pPr>
        <w:pStyle w:val="Compact"/>
        <w:numPr>
          <w:ilvl w:val="0"/>
          <w:numId w:val="1009"/>
        </w:numPr>
      </w:pPr>
      <w:r>
        <w:t xml:space="preserve">E5 and Copilot-related ARPU expansion;</w:t>
      </w:r>
    </w:p>
    <w:p>
      <w:pPr>
        <w:pStyle w:val="Compact"/>
        <w:numPr>
          <w:ilvl w:val="0"/>
          <w:numId w:val="1009"/>
        </w:numPr>
      </w:pPr>
      <w:r>
        <w:t xml:space="preserve">continued commercial-seat growth;</w:t>
      </w:r>
    </w:p>
    <w:p>
      <w:pPr>
        <w:pStyle w:val="Compact"/>
        <w:numPr>
          <w:ilvl w:val="0"/>
          <w:numId w:val="1009"/>
        </w:numPr>
      </w:pPr>
      <w:r>
        <w:t xml:space="preserve">Microsoft 365 Consumer monetization;</w:t>
      </w:r>
    </w:p>
    <w:p>
      <w:pPr>
        <w:pStyle w:val="Compact"/>
        <w:numPr>
          <w:ilvl w:val="0"/>
          <w:numId w:val="1009"/>
        </w:numPr>
      </w:pPr>
      <w:r>
        <w:t xml:space="preserve">LinkedIn, expected to grow about 10%;</w:t>
      </w:r>
    </w:p>
    <w:p>
      <w:pPr>
        <w:pStyle w:val="Compact"/>
        <w:numPr>
          <w:ilvl w:val="0"/>
          <w:numId w:val="1009"/>
        </w:numPr>
      </w:pPr>
      <w:r>
        <w:t xml:space="preserve">Dynamics 365, expected to grow low double digits.</w:t>
      </w:r>
    </w:p>
    <w:p>
      <w:pPr>
        <w:pStyle w:val="FirstParagraph"/>
      </w:pPr>
      <w:r>
        <w:t xml:space="preserve">The principal watch item is whether Copilot monetization can offset slower Dynamics growth and the evolving transition from traditional per-seat contracts to a seat-plus-consumption model.</w:t>
      </w:r>
    </w:p>
    <w:bookmarkEnd w:id="21"/>
    <w:bookmarkStart w:id="22" w:name="intelligent-cloud-the-earnings-engine"/>
    <w:p>
      <w:pPr>
        <w:pStyle w:val="Heading3"/>
      </w:pPr>
      <w:r>
        <w:t xml:space="preserve">Intelligent Cloud: the earnings engine</w:t>
      </w:r>
    </w:p>
    <w:p>
      <w:pPr>
        <w:pStyle w:val="FirstParagraph"/>
      </w:pPr>
      <w:r>
        <w:t xml:space="preserve">Microsoft guided Intelligent Cloud revenue to</w:t>
      </w:r>
      <w:r>
        <w:t xml:space="preserve"> </w:t>
      </w:r>
      <m:oMath>
        <m:r>
          <m:t>37.95</m:t>
        </m:r>
        <m:r>
          <m:t>B</m:t>
        </m:r>
        <m:r>
          <m:rPr>
            <m:sty m:val="p"/>
          </m:rPr>
          <m:t>–</m:t>
        </m:r>
      </m:oMath>
      <w:r>
        <w:rPr>
          <w:b/>
          <w:bCs/>
        </w:rPr>
        <w:t xml:space="preserve">38.25B</w:t>
      </w:r>
      <w:r>
        <w:t xml:space="preserve">, up 27%–28%.</w:t>
      </w:r>
    </w:p>
    <w:p>
      <w:pPr>
        <w:pStyle w:val="BodyText"/>
      </w:pPr>
      <w:r>
        <w:t xml:space="preserve">Azure should remain the segment’s principal growth driver. But investors should also focus on:</w:t>
      </w:r>
    </w:p>
    <w:p>
      <w:pPr>
        <w:pStyle w:val="Compact"/>
        <w:numPr>
          <w:ilvl w:val="0"/>
          <w:numId w:val="1010"/>
        </w:numPr>
      </w:pPr>
      <w:r>
        <w:t xml:space="preserve">server-product trends, expected to decline mid-single digits amid ongoing cloud migration;</w:t>
      </w:r>
    </w:p>
    <w:p>
      <w:pPr>
        <w:pStyle w:val="Compact"/>
        <w:numPr>
          <w:ilvl w:val="0"/>
          <w:numId w:val="1010"/>
        </w:numPr>
      </w:pPr>
      <w:r>
        <w:t xml:space="preserve">gross-margin trajectory;</w:t>
      </w:r>
    </w:p>
    <w:p>
      <w:pPr>
        <w:pStyle w:val="Compact"/>
        <w:numPr>
          <w:ilvl w:val="0"/>
          <w:numId w:val="1010"/>
        </w:numPr>
      </w:pPr>
      <w:r>
        <w:t xml:space="preserve">signs that model diversity, Foundry, Fabric, and agent tooling are expanding the Azure opportunity beyond raw compute;</w:t>
      </w:r>
    </w:p>
    <w:p>
      <w:pPr>
        <w:pStyle w:val="Compact"/>
        <w:numPr>
          <w:ilvl w:val="0"/>
          <w:numId w:val="1010"/>
        </w:numPr>
      </w:pPr>
      <w:r>
        <w:t xml:space="preserve">how Microsoft allocates constrained capacity between third-party Azure customers, first-party Copilots, R&amp;D, and OpenAI-related demand.</w:t>
      </w:r>
    </w:p>
    <w:bookmarkEnd w:id="22"/>
    <w:bookmarkStart w:id="23" w:name="X936fee7db63f7fbdc1632a5f8348226942962ad"/>
    <w:p>
      <w:pPr>
        <w:pStyle w:val="Heading3"/>
      </w:pPr>
      <w:r>
        <w:t xml:space="preserve">More Personal Computing: a drag that should be understood, not overreacted to</w:t>
      </w:r>
    </w:p>
    <w:p>
      <w:pPr>
        <w:pStyle w:val="FirstParagraph"/>
      </w:pPr>
      <w:r>
        <w:t xml:space="preserve">Microsoft guided the segment to</w:t>
      </w:r>
      <w:r>
        <w:t xml:space="preserve"> </w:t>
      </w:r>
      <m:oMath>
        <m:r>
          <m:t>11.75</m:t>
        </m:r>
        <m:r>
          <m:t>B</m:t>
        </m:r>
        <m:r>
          <m:rPr>
            <m:sty m:val="p"/>
          </m:rPr>
          <m:t>–</m:t>
        </m:r>
      </m:oMath>
      <w:r>
        <w:rPr>
          <w:b/>
          <w:bCs/>
        </w:rPr>
        <w:t xml:space="preserve">12.25B</w:t>
      </w:r>
      <w:r>
        <w:t xml:space="preserve">, reflecting challenging PC and gaming comparisons.</w:t>
      </w:r>
    </w:p>
    <w:p>
      <w:pPr>
        <w:pStyle w:val="BodyText"/>
      </w:pPr>
      <w:r>
        <w:t xml:space="preserve">Expected trends include:</w:t>
      </w:r>
    </w:p>
    <w:p>
      <w:pPr>
        <w:pStyle w:val="Compact"/>
        <w:numPr>
          <w:ilvl w:val="0"/>
          <w:numId w:val="1011"/>
        </w:numPr>
      </w:pPr>
      <w:r>
        <w:t xml:space="preserve">Windows OEM and Devices down mid- to high teens;</w:t>
      </w:r>
    </w:p>
    <w:p>
      <w:pPr>
        <w:pStyle w:val="Compact"/>
        <w:numPr>
          <w:ilvl w:val="0"/>
          <w:numId w:val="1011"/>
        </w:numPr>
      </w:pPr>
      <w:r>
        <w:t xml:space="preserve">search advertising ex-TAC up high single digits;</w:t>
      </w:r>
    </w:p>
    <w:p>
      <w:pPr>
        <w:pStyle w:val="Compact"/>
        <w:numPr>
          <w:ilvl w:val="0"/>
          <w:numId w:val="1011"/>
        </w:numPr>
      </w:pPr>
      <w:r>
        <w:t xml:space="preserve">Xbox content and services down low teens;</w:t>
      </w:r>
    </w:p>
    <w:p>
      <w:pPr>
        <w:pStyle w:val="Compact"/>
        <w:numPr>
          <w:ilvl w:val="0"/>
          <w:numId w:val="1011"/>
        </w:numPr>
      </w:pPr>
      <w:r>
        <w:t xml:space="preserve">hardware revenue declining year over year.</w:t>
      </w:r>
    </w:p>
    <w:p>
      <w:pPr>
        <w:pStyle w:val="FirstParagraph"/>
      </w:pPr>
      <w:r>
        <w:t xml:space="preserve">The Windows outlook is especially noisy. Management cited three roughly six-point headwinds: a difficult Windows 10 end-of-support comparison, normalization of elevated OEM inventory, and a weaker PC market amid rising memory prices. This is not the part of the report that should determine the thesis, but a worse-than-expected PC reset could still pressure the headline result.</w:t>
      </w:r>
    </w:p>
    <w:p>
      <w:r>
        <w:pict>
          <v:rect style="width:0;height:1.5pt" o:hralign="center" o:hrstd="t" o:hr="t"/>
        </w:pict>
      </w:r>
    </w:p>
    <w:bookmarkEnd w:id="23"/>
    <w:bookmarkEnd w:id="24"/>
    <w:bookmarkStart w:id="25" w:name="Xd3efe838795316e135c24036b6404deb18617ed"/>
    <w:p>
      <w:pPr>
        <w:pStyle w:val="Heading2"/>
      </w:pPr>
      <w:r>
        <w:t xml:space="preserve">RPO: strong visibility, but adjust for OpenAI</w:t>
      </w:r>
    </w:p>
    <w:p>
      <w:pPr>
        <w:pStyle w:val="FirstParagraph"/>
      </w:pPr>
      <w:r>
        <w:t xml:space="preserve">Commercial RPO was</w:t>
      </w:r>
      <w:r>
        <w:t xml:space="preserve"> </w:t>
      </w:r>
      <w:r>
        <w:rPr>
          <w:b/>
          <w:bCs/>
        </w:rPr>
        <w:t xml:space="preserve">$627B</w:t>
      </w:r>
      <w:r>
        <w:t xml:space="preserve"> </w:t>
      </w:r>
      <w:r>
        <w:t xml:space="preserve">at the end of Q3, up</w:t>
      </w:r>
      <w:r>
        <w:t xml:space="preserve"> </w:t>
      </w:r>
      <w:r>
        <w:rPr>
          <w:b/>
          <w:bCs/>
        </w:rPr>
        <w:t xml:space="preserve">99% year over year</w:t>
      </w:r>
      <w:r>
        <w:t xml:space="preserve">. That is a meaningful indicator of demand visibility, but investors should be careful in interpreting the headline growth rate.</w:t>
      </w:r>
    </w:p>
    <w:p>
      <w:pPr>
        <w:pStyle w:val="BodyText"/>
      </w:pPr>
      <w:r>
        <w:t xml:space="preserve">Excluding the OpenAI effect, Microsoft said commercial RPO growth was</w:t>
      </w:r>
      <w:r>
        <w:t xml:space="preserve"> </w:t>
      </w:r>
      <w:r>
        <w:rPr>
          <w:b/>
          <w:bCs/>
        </w:rPr>
        <w:t xml:space="preserve">26%</w:t>
      </w:r>
      <w:r>
        <w:t xml:space="preserve">, more consistent with historical seasonality. Likewise, commercial bookings grew</w:t>
      </w:r>
      <w:r>
        <w:t xml:space="preserve"> </w:t>
      </w:r>
      <w:r>
        <w:rPr>
          <w:b/>
          <w:bCs/>
        </w:rPr>
        <w:t xml:space="preserve">7% excluding OpenAI</w:t>
      </w:r>
      <w:r>
        <w:t xml:space="preserve"> </w:t>
      </w:r>
      <w:r>
        <w:t xml:space="preserve">but declined when OpenAI-related Azure commitments were included.</w:t>
      </w:r>
    </w:p>
    <w:p>
      <w:pPr>
        <w:pStyle w:val="BodyText"/>
      </w:pPr>
      <w:r>
        <w:t xml:space="preserve">The takeaway: backlog remains a major strength, but</w:t>
      </w:r>
      <w:r>
        <w:t xml:space="preserve"> </w:t>
      </w:r>
      <w:r>
        <w:rPr>
          <w:b/>
          <w:bCs/>
        </w:rPr>
        <w:t xml:space="preserve">the underlying enterprise bookings and consumption trajectory matter more than the headline RPO percentage</w:t>
      </w:r>
      <w:r>
        <w:t xml:space="preserve">.</w:t>
      </w:r>
    </w:p>
    <w:p>
      <w:r>
        <w:pict>
          <v:rect style="width:0;height:1.5pt" o:hralign="center" o:hrstd="t" o:hr="t"/>
        </w:pict>
      </w:r>
    </w:p>
    <w:bookmarkEnd w:id="25"/>
    <w:bookmarkStart w:id="26" w:name="Xc9ecc2571b169091f29c5e298efe64c38d2e43e"/>
    <w:p>
      <w:pPr>
        <w:pStyle w:val="Heading2"/>
      </w:pPr>
      <w:r>
        <w:t xml:space="preserve">OpenAI and model strategy: less reliance, more optionality</w:t>
      </w:r>
    </w:p>
    <w:p>
      <w:pPr>
        <w:pStyle w:val="FirstParagraph"/>
      </w:pPr>
      <w:r>
        <w:t xml:space="preserve">Microsoft’s OpenAI relationship remains strategically important, but the company is increasingly emphasizing model diversity and internally developed models.</w:t>
      </w:r>
    </w:p>
    <w:p>
      <w:pPr>
        <w:pStyle w:val="BodyText"/>
      </w:pPr>
      <w:r>
        <w:t xml:space="preserve">Recent developments—including broader support for third-party and open-source models through Foundry, deeper Mistral collaboration, and Microsoft’s reported use of proprietary models in select products—reinforce the company’s effort to lower inference costs, reduce supplier dependence, and retain more AI economics.</w:t>
      </w:r>
    </w:p>
    <w:p>
      <w:pPr>
        <w:pStyle w:val="BodyText"/>
      </w:pPr>
      <w:r>
        <w:t xml:space="preserve">For earnings, the practical implications are:</w:t>
      </w:r>
    </w:p>
    <w:p>
      <w:pPr>
        <w:pStyle w:val="Compact"/>
        <w:numPr>
          <w:ilvl w:val="0"/>
          <w:numId w:val="1012"/>
        </w:numPr>
      </w:pPr>
      <w:r>
        <w:rPr>
          <w:b/>
          <w:bCs/>
        </w:rPr>
        <w:t xml:space="preserve">Positive:</w:t>
      </w:r>
      <w:r>
        <w:t xml:space="preserve"> </w:t>
      </w:r>
      <w:r>
        <w:t xml:space="preserve">greater control over product performance, cost, and model choice.</w:t>
      </w:r>
    </w:p>
    <w:p>
      <w:pPr>
        <w:pStyle w:val="Compact"/>
        <w:numPr>
          <w:ilvl w:val="0"/>
          <w:numId w:val="1012"/>
        </w:numPr>
      </w:pPr>
      <w:r>
        <w:rPr>
          <w:b/>
          <w:bCs/>
        </w:rPr>
        <w:t xml:space="preserve">Risk:</w:t>
      </w:r>
      <w:r>
        <w:t xml:space="preserve"> </w:t>
      </w:r>
      <w:r>
        <w:t xml:space="preserve">the OpenAI investment can still create noise in GAAP other income/expense and EPS.</w:t>
      </w:r>
    </w:p>
    <w:p>
      <w:pPr>
        <w:pStyle w:val="Compact"/>
        <w:numPr>
          <w:ilvl w:val="0"/>
          <w:numId w:val="1012"/>
        </w:numPr>
      </w:pPr>
      <w:r>
        <w:rPr>
          <w:b/>
          <w:bCs/>
        </w:rPr>
        <w:t xml:space="preserve">Investor focus:</w:t>
      </w:r>
      <w:r>
        <w:t xml:space="preserve"> </w:t>
      </w:r>
      <w:r>
        <w:t xml:space="preserve">use Microsoft’s adjusted metrics, which exclude OpenAI investment gains and losses, to assess underlying operating performance.</w:t>
      </w:r>
    </w:p>
    <w:p>
      <w:r>
        <w:pict>
          <v:rect style="width:0;height:1.5pt" o:hralign="center" o:hrstd="t" o:hr="t"/>
        </w:pict>
      </w:r>
    </w:p>
    <w:bookmarkEnd w:id="26"/>
    <w:bookmarkStart w:id="29" w:name="X7dc2fc7831fc4709f8b436ede91920f504686af"/>
    <w:p>
      <w:pPr>
        <w:pStyle w:val="Heading2"/>
      </w:pPr>
      <w:r>
        <w:t xml:space="preserve">What would change the stock after earnings?</w:t>
      </w:r>
    </w:p>
    <w:bookmarkStart w:id="27" w:name="Xa617af9186efe591e9f01b4956186ded5991bd7"/>
    <w:p>
      <w:pPr>
        <w:pStyle w:val="Heading3"/>
      </w:pPr>
      <w:r>
        <w:t xml:space="preserve">Bull case: “AI monetization is catching up to the infrastructure build”</w:t>
      </w:r>
    </w:p>
    <w:p>
      <w:pPr>
        <w:pStyle w:val="FirstParagraph"/>
      </w:pPr>
      <w:r>
        <w:t xml:space="preserve">A positive setup would likely require some combination of:</w:t>
      </w:r>
    </w:p>
    <w:p>
      <w:pPr>
        <w:pStyle w:val="Compact"/>
        <w:numPr>
          <w:ilvl w:val="0"/>
          <w:numId w:val="1013"/>
        </w:numPr>
      </w:pPr>
      <w:r>
        <w:t xml:space="preserve">Azure above guidance or a clear path to acceleration;</w:t>
      </w:r>
    </w:p>
    <w:p>
      <w:pPr>
        <w:pStyle w:val="Compact"/>
        <w:numPr>
          <w:ilvl w:val="0"/>
          <w:numId w:val="1013"/>
        </w:numPr>
      </w:pPr>
      <w:r>
        <w:t xml:space="preserve">strong Copilot seat adds and evidence of rising AI consumption;</w:t>
      </w:r>
    </w:p>
    <w:p>
      <w:pPr>
        <w:pStyle w:val="Compact"/>
        <w:numPr>
          <w:ilvl w:val="0"/>
          <w:numId w:val="1013"/>
        </w:numPr>
      </w:pPr>
      <w:r>
        <w:t xml:space="preserve">solid Microsoft 365 Commercial Cloud performance;</w:t>
      </w:r>
    </w:p>
    <w:p>
      <w:pPr>
        <w:pStyle w:val="Compact"/>
        <w:numPr>
          <w:ilvl w:val="0"/>
          <w:numId w:val="1013"/>
        </w:numPr>
      </w:pPr>
      <w:r>
        <w:t xml:space="preserve">no material deterioration in cloud gross-margin expectations;</w:t>
      </w:r>
    </w:p>
    <w:p>
      <w:pPr>
        <w:pStyle w:val="Compact"/>
        <w:numPr>
          <w:ilvl w:val="0"/>
          <w:numId w:val="1013"/>
        </w:numPr>
      </w:pPr>
      <w:r>
        <w:t xml:space="preserve">CapEx maintained rather than materially raised, or a higher CapEx plan paired with visibly better Azure/AI revenue conversion;</w:t>
      </w:r>
    </w:p>
    <w:p>
      <w:pPr>
        <w:pStyle w:val="Compact"/>
        <w:numPr>
          <w:ilvl w:val="0"/>
          <w:numId w:val="1013"/>
        </w:numPr>
      </w:pPr>
      <w:r>
        <w:t xml:space="preserve">confident FY27 commentary around double-digit revenue and operating-income growth.</w:t>
      </w:r>
    </w:p>
    <w:bookmarkEnd w:id="27"/>
    <w:bookmarkStart w:id="28" w:name="X3ae9e766ace7f883bf133bf84610e7d5f33bf68"/>
    <w:p>
      <w:pPr>
        <w:pStyle w:val="Heading3"/>
      </w:pPr>
      <w:r>
        <w:t xml:space="preserve">Bear case: “CapEx rises faster than the monetization proof”</w:t>
      </w:r>
    </w:p>
    <w:p>
      <w:pPr>
        <w:pStyle w:val="FirstParagraph"/>
      </w:pPr>
      <w:r>
        <w:t xml:space="preserve">A negative reaction is more likely if:</w:t>
      </w:r>
    </w:p>
    <w:p>
      <w:pPr>
        <w:pStyle w:val="Compact"/>
        <w:numPr>
          <w:ilvl w:val="0"/>
          <w:numId w:val="1014"/>
        </w:numPr>
      </w:pPr>
      <w:r>
        <w:t xml:space="preserve">Azure misses the high end of expectations;</w:t>
      </w:r>
    </w:p>
    <w:p>
      <w:pPr>
        <w:pStyle w:val="Compact"/>
        <w:numPr>
          <w:ilvl w:val="0"/>
          <w:numId w:val="1014"/>
        </w:numPr>
      </w:pPr>
      <w:r>
        <w:t xml:space="preserve">AI application monetization remains qualitative rather than measurable;</w:t>
      </w:r>
    </w:p>
    <w:p>
      <w:pPr>
        <w:pStyle w:val="Compact"/>
        <w:numPr>
          <w:ilvl w:val="0"/>
          <w:numId w:val="1014"/>
        </w:numPr>
      </w:pPr>
      <w:r>
        <w:t xml:space="preserve">management raises 2026/2027 infrastructure spending without strengthening the revenue or margin outlook;</w:t>
      </w:r>
    </w:p>
    <w:p>
      <w:pPr>
        <w:pStyle w:val="Compact"/>
        <w:numPr>
          <w:ilvl w:val="0"/>
          <w:numId w:val="1014"/>
        </w:numPr>
      </w:pPr>
      <w:r>
        <w:t xml:space="preserve">cloud gross margin steps down more sharply;</w:t>
      </w:r>
    </w:p>
    <w:p>
      <w:pPr>
        <w:pStyle w:val="Compact"/>
        <w:numPr>
          <w:ilvl w:val="0"/>
          <w:numId w:val="1014"/>
        </w:numPr>
      </w:pPr>
      <w:r>
        <w:t xml:space="preserve">the company becomes more cautious on demand, bookings, or timing of capacity deployment.</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Microsoft has the ingredients for another solid operating quarter: a capacity-constrained Azure business, accelerating Copilot adoption, an unusually large commercial backlog, and a broadening AI platform strategy.</w:t>
      </w:r>
    </w:p>
    <w:p>
      <w:pPr>
        <w:pStyle w:val="BodyText"/>
      </w:pPr>
      <w:r>
        <w:t xml:space="preserve">However, the event is no longer simply about whether Microsoft can beat estimates. The market wants proof that the company’s extraordinary infrastructure investment is generating:</w:t>
      </w:r>
    </w:p>
    <w:p>
      <w:pPr>
        <w:pStyle w:val="Compact"/>
        <w:numPr>
          <w:ilvl w:val="0"/>
          <w:numId w:val="1015"/>
        </w:numPr>
      </w:pPr>
      <w:r>
        <w:rPr>
          <w:b/>
          <w:bCs/>
        </w:rPr>
        <w:t xml:space="preserve">faster cloud growth,</w:t>
      </w:r>
    </w:p>
    <w:p>
      <w:pPr>
        <w:pStyle w:val="Compact"/>
        <w:numPr>
          <w:ilvl w:val="0"/>
          <w:numId w:val="1015"/>
        </w:numPr>
      </w:pPr>
      <w:r>
        <w:rPr>
          <w:b/>
          <w:bCs/>
        </w:rPr>
        <w:t xml:space="preserve">higher-value AI application revenue,</w:t>
      </w:r>
    </w:p>
    <w:p>
      <w:pPr>
        <w:pStyle w:val="Compact"/>
        <w:numPr>
          <w:ilvl w:val="0"/>
          <w:numId w:val="1015"/>
        </w:numPr>
      </w:pPr>
      <w:r>
        <w:rPr>
          <w:b/>
          <w:bCs/>
        </w:rPr>
        <w:t xml:space="preserve">improving utilization and efficiency,</w:t>
      </w:r>
      <w:r>
        <w:t xml:space="preserve"> </w:t>
      </w:r>
      <w:r>
        <w:t xml:space="preserve">and</w:t>
      </w:r>
    </w:p>
    <w:p>
      <w:pPr>
        <w:pStyle w:val="Compact"/>
        <w:numPr>
          <w:ilvl w:val="0"/>
          <w:numId w:val="1015"/>
        </w:numPr>
      </w:pPr>
      <w:r>
        <w:rPr>
          <w:b/>
          <w:bCs/>
        </w:rPr>
        <w:t xml:space="preserve">a credible path to sustained margins and cash returns.</w:t>
      </w:r>
    </w:p>
    <w:p>
      <w:pPr>
        <w:pStyle w:val="FirstParagraph"/>
      </w:pPr>
      <w:r>
        <w:rPr>
          <w:b/>
          <w:bCs/>
        </w:rPr>
        <w:t xml:space="preserve">My view:</w:t>
      </w:r>
      <w:r>
        <w:t xml:space="preserve"> </w:t>
      </w:r>
      <w:r>
        <w:t xml:space="preserve">the operating setup favors a beat-and-raise style result, particularly in Azure and Copilot. But the stock’s reaction will depend on whether management can make the CapEx-to-revenue conversion more tangible. Strong results paired with another material increase in investment could still be received cautiously; strong Azure acceleration and tangible Copilot monetization would be the clearest route to a positive re-rating.</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2026-07-29T01:49:19Z</dcterms:created>
  <dcterms:modified xsi:type="dcterms:W3CDTF">2026-07-29T01:49:19Z</dcterms:modified>
</cp:coreProperties>
</file>

<file path=docProps/custom.xml><?xml version="1.0" encoding="utf-8"?>
<Properties xmlns="http://schemas.openxmlformats.org/officeDocument/2006/custom-properties" xmlns:vt="http://schemas.openxmlformats.org/officeDocument/2006/docPropsVTypes"/>
</file>