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Microsoft Corporation (MSFT) — Q4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Microsoft Corporation</w:t>
            </w:r>
          </w:p>
        </w:tc>
      </w:tr>
      <w:tr>
        <w:tc>
          <w:tcPr>
            <w:tcW w:type="dxa" w:w="4320"/>
          </w:tcPr>
          <w:p>
            <w:r>
              <w:rPr>
                <w:rFonts w:ascii="Calibri" w:hAnsi="Calibri"/>
                <w:b/>
                <w:sz w:val="22"/>
              </w:rPr>
              <w:t>Ticker</w:t>
            </w:r>
          </w:p>
        </w:tc>
        <w:tc>
          <w:tcPr>
            <w:tcW w:type="dxa" w:w="4320"/>
          </w:tcPr>
          <w:p>
            <w:r>
              <w:rPr>
                <w:rFonts w:ascii="Calibri" w:hAnsi="Calibri"/>
                <w:sz w:val="22"/>
              </w:rPr>
              <w:t>MSFT (NASDAQ)</w:t>
            </w:r>
          </w:p>
        </w:tc>
      </w:tr>
      <w:tr>
        <w:tc>
          <w:tcPr>
            <w:tcW w:type="dxa" w:w="4320"/>
          </w:tcPr>
          <w:p>
            <w:r>
              <w:rPr>
                <w:rFonts w:ascii="Calibri" w:hAnsi="Calibri"/>
                <w:b/>
                <w:sz w:val="22"/>
              </w:rPr>
              <w:t>Reporting Quarter</w:t>
            </w:r>
          </w:p>
        </w:tc>
        <w:tc>
          <w:tcPr>
            <w:tcW w:type="dxa" w:w="4320"/>
          </w:tcPr>
          <w:p>
            <w:r>
              <w:rPr>
                <w:rFonts w:ascii="Calibri" w:hAnsi="Calibri"/>
                <w:sz w:val="22"/>
              </w:rPr>
              <w:t>Q4 FY2026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After Market Close</w:t>
            </w:r>
          </w:p>
        </w:tc>
      </w:tr>
      <w:tr>
        <w:tc>
          <w:tcPr>
            <w:tcW w:type="dxa" w:w="4320"/>
          </w:tcPr>
          <w:p>
            <w:r>
              <w:rPr>
                <w:rFonts w:ascii="Calibri" w:hAnsi="Calibri"/>
                <w:b/>
                <w:sz w:val="22"/>
              </w:rPr>
              <w:t>Last Earnings</w:t>
            </w:r>
          </w:p>
        </w:tc>
        <w:tc>
          <w:tcPr>
            <w:tcW w:type="dxa" w:w="4320"/>
          </w:tcPr>
          <w:p>
            <w:r>
              <w:rPr>
                <w:rFonts w:ascii="Calibri" w:hAnsi="Calibri"/>
                <w:sz w:val="22"/>
              </w:rPr>
              <w:t>April 29, 2026 (Q3 FY2026)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 consensus is a manageable bar with Azure guided to 39–40% CC growth and estimates tracking in-line with guidance, but the stock has de-rated sharply since last earnings and the market will demand proof that the unprecedented CapEx ramp is translating into durable revenue acceleration. The single biggest swing factor is whether Azure growth can inflect above 40% in Q4, validating management’s “modest acceleration” signal for H2 CY2026.</w:t>
      </w:r>
    </w:p>
    <w:p>
      <w:r>
        <w:rPr>
          <w:rFonts w:ascii="Calibri" w:hAnsi="Calibri"/>
          <w:color w:val="525866"/>
          <w:sz w:val="22"/>
        </w:rPr>
        <w:t xml:space="preserve">Heading into Q4 FY2026, Microsoft faces a bar that is achievable but not easy: consensus expects </w:t>
      </w:r>
      <w:r>
        <w:rPr>
          <w:rFonts w:ascii="Calibri" w:hAnsi="Calibri"/>
          <w:b/>
          <w:color w:val="525866"/>
          <w:sz w:val="22"/>
        </w:rPr>
        <w:t>~$87.7B in revenue (+16% YoY)</w:t>
      </w:r>
      <w:r>
        <w:rPr>
          <w:rFonts w:ascii="Calibri" w:hAnsi="Calibri"/>
          <w:color w:val="525866"/>
          <w:sz w:val="22"/>
        </w:rPr>
        <w:t xml:space="preserve"> and </w:t>
      </w:r>
      <w:r>
        <w:rPr>
          <w:rFonts w:ascii="Calibri" w:hAnsi="Calibri"/>
          <w:b/>
          <w:color w:val="525866"/>
          <w:sz w:val="22"/>
        </w:rPr>
        <w:t>Azure CC growth of ~39.7%</w:t>
      </w:r>
      <w:r>
        <w:rPr>
          <w:rFonts w:ascii="Calibri" w:hAnsi="Calibri"/>
          <w:color w:val="525866"/>
          <w:sz w:val="22"/>
        </w:rPr>
        <w:t xml:space="preserve">, both squarely within the guided range management provided on the April 29 call. Management’s tone on the Q3 call was notably more constructive than Q2 — they explicitly guided for “modest acceleration” in Azure in H2 CY2026, flagged the Fairwater data center coming online ahead of schedule, and committed to double-digit revenue and operating income growth in FY27 — signaling confidence that supply constraints are beginning to ease. Estimate revisions since last earnings have been stable to slightly positive, with Azure consensus moving from ~39.7% (as of May 4) to ~39.7% currently, suggesting the Street has largely priced in the guided range without building in meaningful upside. The stock has underperformed significantly since the Q3 print, falling from ~$424 to ~$393 (down ~7%), while the S&amp;P 500 is roughly flat, reflecting persistent investor skepticism about the ROI on ~$190B of CY2026 CapEx and the OpenAI partnership restructuring’s competitive implications. The key wildcard is </w:t>
      </w:r>
      <w:r>
        <w:rPr>
          <w:rFonts w:ascii="Calibri" w:hAnsi="Calibri"/>
          <w:b/>
          <w:color w:val="525866"/>
          <w:sz w:val="22"/>
        </w:rPr>
        <w:t>CapEx guidance for FY27</w:t>
      </w:r>
      <w:r>
        <w:rPr>
          <w:rFonts w:ascii="Calibri" w:hAnsi="Calibri"/>
          <w:color w:val="525866"/>
          <w:sz w:val="22"/>
        </w:rPr>
        <w:t>: if management signals a further step-up beyond the ~$235B consensus estimate, the stock could sell off again regardless of the Azure print; conversely, any signal that the CapEx cycle is peaking would be a significant positive catalyst.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Azure growth at ~39.7% CC is within the guided 39–40% range, and total revenue of ~$87.7B implies ~16% YoY growth. </w:t>
      </w:r>
      <w:r>
        <w:rPr>
          <w:rFonts w:ascii="Calibri" w:hAnsi="Calibri"/>
          <w:b/>
          <w:color w:val="525866"/>
          <w:sz w:val="22"/>
        </w:rPr>
        <w:t>Azure growth rate and CapEx</w:t>
      </w:r>
      <w:r>
        <w:rPr>
          <w:rFonts w:ascii="Calibri" w:hAnsi="Calibri"/>
          <w:color w:val="525866"/>
          <w:sz w:val="22"/>
        </w:rPr>
        <w:t xml:space="preserve"> are the two biggest swing factors: a beat on Azure above 40% would be a positive catalyst, while CapEx above $42B would likely reignite ROI concerns.</w:t>
      </w:r>
    </w:p>
    <w:p>
      <w:pPr>
        <w:pStyle w:val="Heading3"/>
      </w:pPr>
      <w:r>
        <w:rPr>
          <w:rFonts w:ascii="Calibri" w:hAnsi="Calibri"/>
          <w:b/>
          <w:color w:val="3B4259"/>
          <w:sz w:val="24"/>
        </w:rPr>
        <w:t>Table 1 — Q4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Q3 FY2026 Actual (Last Qtr)</w:t>
            </w:r>
          </w:p>
        </w:tc>
        <w:tc>
          <w:tcPr>
            <w:tcW w:type="dxa" w:w="1234"/>
            <w:shd w:val="clear" w:color="auto" w:fill="3B4259"/>
          </w:tcPr>
          <w:p>
            <w:r>
              <w:rPr>
                <w:rFonts w:ascii="Calibri" w:hAnsi="Calibri"/>
                <w:b/>
                <w:color w:val="FFFFFF"/>
                <w:sz w:val="22"/>
              </w:rPr>
              <w:t>Q4 FY2025 Actual (Prior Year)</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(Last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$82.9B</w:t>
            </w:r>
          </w:p>
        </w:tc>
        <w:tc>
          <w:tcPr>
            <w:tcW w:type="dxa" w:w="1234"/>
          </w:tcPr>
          <w:p>
            <w:r>
              <w:rPr>
                <w:rFonts w:ascii="Calibri" w:hAnsi="Calibri"/>
                <w:sz w:val="22"/>
              </w:rPr>
              <w:t>$76.4B</w:t>
            </w:r>
          </w:p>
        </w:tc>
        <w:tc>
          <w:tcPr>
            <w:tcW w:type="dxa" w:w="1234"/>
          </w:tcPr>
          <w:p>
            <w:r>
              <w:rPr>
                <w:rFonts w:ascii="Calibri" w:hAnsi="Calibri"/>
                <w:sz w:val="22"/>
              </w:rPr>
              <w:t>$87.7B</w:t>
            </w:r>
          </w:p>
        </w:tc>
        <w:tc>
          <w:tcPr>
            <w:tcW w:type="dxa" w:w="1234"/>
          </w:tcPr>
          <w:p>
            <w:r>
              <w:rPr>
                <w:rFonts w:ascii="Calibri" w:hAnsi="Calibri"/>
                <w:sz w:val="22"/>
              </w:rPr>
              <w:t>+14.8% YoY</w:t>
            </w:r>
          </w:p>
        </w:tc>
        <w:tc>
          <w:tcPr>
            <w:tcW w:type="dxa" w:w="1234"/>
          </w:tcPr>
          <w:p>
            <w:r>
              <w:rPr>
                <w:rFonts w:ascii="Calibri" w:hAnsi="Calibri"/>
                <w:sz w:val="22"/>
              </w:rPr>
              <w:t>~$87.9B midpoint (implied)</w:t>
            </w:r>
          </w:p>
        </w:tc>
        <w:tc>
          <w:tcPr>
            <w:tcW w:type="dxa" w:w="1234"/>
          </w:tcPr>
          <w:p>
            <w:r>
              <w:rPr>
                <w:rFonts w:ascii="Calibri" w:hAnsi="Calibri"/>
                <w:sz w:val="22"/>
              </w:rPr>
              <w:t>~−0.2%</w:t>
            </w:r>
          </w:p>
        </w:tc>
      </w:tr>
      <w:tr>
        <w:tc>
          <w:tcPr>
            <w:tcW w:type="dxa" w:w="1234"/>
          </w:tcPr>
          <w:p>
            <w:r>
              <w:rPr>
                <w:rFonts w:ascii="Calibri" w:hAnsi="Calibri"/>
                <w:sz w:val="22"/>
              </w:rPr>
              <w:t>Azure CC Growth (%)</w:t>
            </w:r>
          </w:p>
        </w:tc>
        <w:tc>
          <w:tcPr>
            <w:tcW w:type="dxa" w:w="1234"/>
          </w:tcPr>
          <w:p>
            <w:r>
              <w:rPr>
                <w:rFonts w:ascii="Calibri" w:hAnsi="Calibri"/>
                <w:sz w:val="22"/>
              </w:rPr>
              <w:t>39% CC</w:t>
            </w:r>
          </w:p>
        </w:tc>
        <w:tc>
          <w:tcPr>
            <w:tcW w:type="dxa" w:w="1234"/>
          </w:tcPr>
          <w:p>
            <w:r>
              <w:rPr>
                <w:rFonts w:ascii="Calibri" w:hAnsi="Calibri"/>
                <w:sz w:val="22"/>
              </w:rPr>
              <w:t>39% CC</w:t>
            </w:r>
          </w:p>
        </w:tc>
        <w:tc>
          <w:tcPr>
            <w:tcW w:type="dxa" w:w="1234"/>
          </w:tcPr>
          <w:p>
            <w:r>
              <w:rPr>
                <w:rFonts w:ascii="Calibri" w:hAnsi="Calibri"/>
                <w:sz w:val="22"/>
              </w:rPr>
              <w:t>~39.7% CC</w:t>
            </w:r>
          </w:p>
        </w:tc>
        <w:tc>
          <w:tcPr>
            <w:tcW w:type="dxa" w:w="1234"/>
          </w:tcPr>
          <w:p>
            <w:r>
              <w:rPr>
                <w:rFonts w:ascii="Calibri" w:hAnsi="Calibri"/>
                <w:sz w:val="22"/>
              </w:rPr>
              <w:t>Flat YoY</w:t>
            </w:r>
          </w:p>
        </w:tc>
        <w:tc>
          <w:tcPr>
            <w:tcW w:type="dxa" w:w="1234"/>
          </w:tcPr>
          <w:p>
            <w:r>
              <w:rPr>
                <w:rFonts w:ascii="Calibri" w:hAnsi="Calibri"/>
                <w:sz w:val="22"/>
              </w:rPr>
              <w:t>39–40% CC</w:t>
            </w:r>
          </w:p>
        </w:tc>
        <w:tc>
          <w:tcPr>
            <w:tcW w:type="dxa" w:w="1234"/>
          </w:tcPr>
          <w:p>
            <w:r>
              <w:rPr>
                <w:rFonts w:ascii="Calibri" w:hAnsi="Calibri"/>
                <w:sz w:val="22"/>
              </w:rPr>
              <w:t>~−0.2% vs. midpoint</w:t>
            </w:r>
          </w:p>
        </w:tc>
      </w:tr>
      <w:tr>
        <w:tc>
          <w:tcPr>
            <w:tcW w:type="dxa" w:w="1234"/>
          </w:tcPr>
          <w:p>
            <w:r>
              <w:rPr>
                <w:rFonts w:ascii="Calibri" w:hAnsi="Calibri"/>
                <w:sz w:val="22"/>
              </w:rPr>
              <w:t>Intelligent Cloud Revenue ($B)</w:t>
            </w:r>
          </w:p>
        </w:tc>
        <w:tc>
          <w:tcPr>
            <w:tcW w:type="dxa" w:w="1234"/>
          </w:tcPr>
          <w:p>
            <w:r>
              <w:rPr>
                <w:rFonts w:ascii="Calibri" w:hAnsi="Calibri"/>
                <w:sz w:val="22"/>
              </w:rPr>
              <w:t>$34.7B</w:t>
            </w:r>
          </w:p>
        </w:tc>
        <w:tc>
          <w:tcPr>
            <w:tcW w:type="dxa" w:w="1234"/>
          </w:tcPr>
          <w:p>
            <w:r>
              <w:rPr>
                <w:rFonts w:ascii="Calibri" w:hAnsi="Calibri"/>
                <w:sz w:val="22"/>
              </w:rPr>
              <w:t>$29.9B</w:t>
            </w:r>
          </w:p>
        </w:tc>
        <w:tc>
          <w:tcPr>
            <w:tcW w:type="dxa" w:w="1234"/>
          </w:tcPr>
          <w:p>
            <w:r>
              <w:rPr>
                <w:rFonts w:ascii="Calibri" w:hAnsi="Calibri"/>
                <w:sz w:val="22"/>
              </w:rPr>
              <w:t>$38.2B</w:t>
            </w:r>
          </w:p>
        </w:tc>
        <w:tc>
          <w:tcPr>
            <w:tcW w:type="dxa" w:w="1234"/>
          </w:tcPr>
          <w:p>
            <w:r>
              <w:rPr>
                <w:rFonts w:ascii="Calibri" w:hAnsi="Calibri"/>
                <w:sz w:val="22"/>
              </w:rPr>
              <w:t>+27.9% YoY</w:t>
            </w:r>
          </w:p>
        </w:tc>
        <w:tc>
          <w:tcPr>
            <w:tcW w:type="dxa" w:w="1234"/>
          </w:tcPr>
          <w:p>
            <w:r>
              <w:rPr>
                <w:rFonts w:ascii="Calibri" w:hAnsi="Calibri"/>
                <w:sz w:val="22"/>
              </w:rPr>
              <w:t>Implied by Azure guide</w:t>
            </w:r>
          </w:p>
        </w:tc>
        <w:tc>
          <w:tcPr>
            <w:tcW w:type="dxa" w:w="1234"/>
          </w:tcPr>
          <w:p>
            <w:r>
              <w:rPr>
                <w:rFonts w:ascii="Calibri" w:hAnsi="Calibri"/>
                <w:sz w:val="22"/>
              </w:rPr>
              <w:t>N/A</w:t>
            </w:r>
          </w:p>
        </w:tc>
      </w:tr>
      <w:tr>
        <w:tc>
          <w:tcPr>
            <w:tcW w:type="dxa" w:w="1234"/>
          </w:tcPr>
          <w:p>
            <w:r>
              <w:rPr>
                <w:rFonts w:ascii="Calibri" w:hAnsi="Calibri"/>
                <w:sz w:val="22"/>
              </w:rPr>
              <w:t>Productivity &amp; Business Processes Revenue ($B)</w:t>
            </w:r>
          </w:p>
        </w:tc>
        <w:tc>
          <w:tcPr>
            <w:tcW w:type="dxa" w:w="1234"/>
          </w:tcPr>
          <w:p>
            <w:r>
              <w:rPr>
                <w:rFonts w:ascii="Calibri" w:hAnsi="Calibri"/>
                <w:sz w:val="22"/>
              </w:rPr>
              <w:t>$35.0B</w:t>
            </w:r>
          </w:p>
        </w:tc>
        <w:tc>
          <w:tcPr>
            <w:tcW w:type="dxa" w:w="1234"/>
          </w:tcPr>
          <w:p>
            <w:r>
              <w:rPr>
                <w:rFonts w:ascii="Calibri" w:hAnsi="Calibri"/>
                <w:sz w:val="22"/>
              </w:rPr>
              <w:t>$33.1B</w:t>
            </w:r>
          </w:p>
        </w:tc>
        <w:tc>
          <w:tcPr>
            <w:tcW w:type="dxa" w:w="1234"/>
          </w:tcPr>
          <w:p>
            <w:r>
              <w:rPr>
                <w:rFonts w:ascii="Calibri" w:hAnsi="Calibri"/>
                <w:sz w:val="22"/>
              </w:rPr>
              <w:t>$37.3B</w:t>
            </w:r>
          </w:p>
        </w:tc>
        <w:tc>
          <w:tcPr>
            <w:tcW w:type="dxa" w:w="1234"/>
          </w:tcPr>
          <w:p>
            <w:r>
              <w:rPr>
                <w:rFonts w:ascii="Calibri" w:hAnsi="Calibri"/>
                <w:sz w:val="22"/>
              </w:rPr>
              <w:t>+12.7% YoY</w:t>
            </w:r>
          </w:p>
        </w:tc>
        <w:tc>
          <w:tcPr>
            <w:tcW w:type="dxa" w:w="1234"/>
          </w:tcPr>
          <w:p>
            <w:r>
              <w:rPr>
                <w:rFonts w:ascii="Calibri" w:hAnsi="Calibri"/>
                <w:sz w:val="22"/>
              </w:rPr>
              <w:t>M365 Commercial Cloud 15–16% CC</w:t>
            </w:r>
          </w:p>
        </w:tc>
        <w:tc>
          <w:tcPr>
            <w:tcW w:type="dxa" w:w="1234"/>
          </w:tcPr>
          <w:p>
            <w:r>
              <w:rPr>
                <w:rFonts w:ascii="Calibri" w:hAnsi="Calibri"/>
                <w:sz w:val="22"/>
              </w:rPr>
              <w:t>N/A</w:t>
            </w:r>
          </w:p>
        </w:tc>
      </w:tr>
      <w:tr>
        <w:tc>
          <w:tcPr>
            <w:tcW w:type="dxa" w:w="1234"/>
          </w:tcPr>
          <w:p>
            <w:r>
              <w:rPr>
                <w:rFonts w:ascii="Calibri" w:hAnsi="Calibri"/>
                <w:sz w:val="22"/>
              </w:rPr>
              <w:t>More Personal Computing Revenue ($B)</w:t>
            </w:r>
          </w:p>
        </w:tc>
        <w:tc>
          <w:tcPr>
            <w:tcW w:type="dxa" w:w="1234"/>
          </w:tcPr>
          <w:p>
            <w:r>
              <w:rPr>
                <w:rFonts w:ascii="Calibri" w:hAnsi="Calibri"/>
                <w:sz w:val="22"/>
              </w:rPr>
              <w:t>$13.2B</w:t>
            </w:r>
          </w:p>
        </w:tc>
        <w:tc>
          <w:tcPr>
            <w:tcW w:type="dxa" w:w="1234"/>
          </w:tcPr>
          <w:p>
            <w:r>
              <w:rPr>
                <w:rFonts w:ascii="Calibri" w:hAnsi="Calibri"/>
                <w:sz w:val="22"/>
              </w:rPr>
              <w:t>$13.5B</w:t>
            </w:r>
          </w:p>
        </w:tc>
        <w:tc>
          <w:tcPr>
            <w:tcW w:type="dxa" w:w="1234"/>
          </w:tcPr>
          <w:p>
            <w:r>
              <w:rPr>
                <w:rFonts w:ascii="Calibri" w:hAnsi="Calibri"/>
                <w:sz w:val="22"/>
              </w:rPr>
              <w:t>$12.2B</w:t>
            </w:r>
          </w:p>
        </w:tc>
        <w:tc>
          <w:tcPr>
            <w:tcW w:type="dxa" w:w="1234"/>
          </w:tcPr>
          <w:p>
            <w:r>
              <w:rPr>
                <w:rFonts w:ascii="Calibri" w:hAnsi="Calibri"/>
                <w:sz w:val="22"/>
              </w:rPr>
              <w:t>−9.6% YoY</w:t>
            </w:r>
          </w:p>
        </w:tc>
        <w:tc>
          <w:tcPr>
            <w:tcW w:type="dxa" w:w="1234"/>
          </w:tcPr>
          <w:p>
            <w:r>
              <w:rPr>
                <w:rFonts w:ascii="Calibri" w:hAnsi="Calibri"/>
                <w:sz w:val="22"/>
              </w:rPr>
              <w:t>Decline expected (PC cycle)</w:t>
            </w:r>
          </w:p>
        </w:tc>
        <w:tc>
          <w:tcPr>
            <w:tcW w:type="dxa" w:w="1234"/>
          </w:tcPr>
          <w:p>
            <w:r>
              <w:rPr>
                <w:rFonts w:ascii="Calibri" w:hAnsi="Calibri"/>
                <w:sz w:val="22"/>
              </w:rPr>
              <w:t>N/A</w:t>
            </w:r>
          </w:p>
        </w:tc>
      </w:tr>
      <w:tr>
        <w:tc>
          <w:tcPr>
            <w:tcW w:type="dxa" w:w="1234"/>
          </w:tcPr>
          <w:p>
            <w:r>
              <w:rPr>
                <w:rFonts w:ascii="Calibri" w:hAnsi="Calibri"/>
                <w:sz w:val="22"/>
              </w:rPr>
              <w:t>M365 Commercial Cloud Revenue ($B)</w:t>
            </w:r>
          </w:p>
        </w:tc>
        <w:tc>
          <w:tcPr>
            <w:tcW w:type="dxa" w:w="1234"/>
          </w:tcPr>
          <w:p>
            <w:r>
              <w:rPr>
                <w:rFonts w:ascii="Calibri" w:hAnsi="Calibri"/>
                <w:sz w:val="22"/>
              </w:rPr>
              <w:t>$22.8B</w:t>
            </w:r>
          </w:p>
        </w:tc>
        <w:tc>
          <w:tcPr>
            <w:tcW w:type="dxa" w:w="1234"/>
          </w:tcPr>
          <w:p>
            <w:r>
              <w:rPr>
                <w:rFonts w:ascii="Calibri" w:hAnsi="Calibri"/>
                <w:sz w:val="22"/>
              </w:rPr>
              <w:t>$21.1B</w:t>
            </w:r>
          </w:p>
        </w:tc>
        <w:tc>
          <w:tcPr>
            <w:tcW w:type="dxa" w:w="1234"/>
          </w:tcPr>
          <w:p>
            <w:r>
              <w:rPr>
                <w:rFonts w:ascii="Calibri" w:hAnsi="Calibri"/>
                <w:sz w:val="22"/>
              </w:rPr>
              <w:t>$24.1B</w:t>
            </w:r>
          </w:p>
        </w:tc>
        <w:tc>
          <w:tcPr>
            <w:tcW w:type="dxa" w:w="1234"/>
          </w:tcPr>
          <w:p>
            <w:r>
              <w:rPr>
                <w:rFonts w:ascii="Calibri" w:hAnsi="Calibri"/>
                <w:sz w:val="22"/>
              </w:rPr>
              <w:t>+14.2% YoY</w:t>
            </w:r>
          </w:p>
        </w:tc>
        <w:tc>
          <w:tcPr>
            <w:tcW w:type="dxa" w:w="1234"/>
          </w:tcPr>
          <w:p>
            <w:r>
              <w:rPr>
                <w:rFonts w:ascii="Calibri" w:hAnsi="Calibri"/>
                <w:sz w:val="22"/>
              </w:rPr>
              <w:t>15–16% CC growth</w:t>
            </w:r>
          </w:p>
        </w:tc>
        <w:tc>
          <w:tcPr>
            <w:tcW w:type="dxa" w:w="1234"/>
          </w:tcPr>
          <w:p>
            <w:r>
              <w:rPr>
                <w:rFonts w:ascii="Calibri" w:hAnsi="Calibri"/>
                <w:sz w:val="22"/>
              </w:rPr>
              <w:t>~−1% vs. midpoint</w:t>
            </w:r>
          </w:p>
        </w:tc>
      </w:tr>
      <w:tr>
        <w:tc>
          <w:tcPr>
            <w:tcW w:type="dxa" w:w="1234"/>
          </w:tcPr>
          <w:p>
            <w:r>
              <w:rPr>
                <w:rFonts w:ascii="Calibri" w:hAnsi="Calibri"/>
                <w:sz w:val="22"/>
              </w:rPr>
              <w:t>EPS — Diluted Operating ($)</w:t>
            </w:r>
          </w:p>
        </w:tc>
        <w:tc>
          <w:tcPr>
            <w:tcW w:type="dxa" w:w="1234"/>
          </w:tcPr>
          <w:p>
            <w:r>
              <w:rPr>
                <w:rFonts w:ascii="Calibri" w:hAnsi="Calibri"/>
                <w:sz w:val="22"/>
              </w:rPr>
              <w:t>$4.27</w:t>
            </w:r>
          </w:p>
        </w:tc>
        <w:tc>
          <w:tcPr>
            <w:tcW w:type="dxa" w:w="1234"/>
          </w:tcPr>
          <w:p>
            <w:r>
              <w:rPr>
                <w:rFonts w:ascii="Calibri" w:hAnsi="Calibri"/>
                <w:sz w:val="22"/>
              </w:rPr>
              <w:t>$3.65</w:t>
            </w:r>
          </w:p>
        </w:tc>
        <w:tc>
          <w:tcPr>
            <w:tcW w:type="dxa" w:w="1234"/>
          </w:tcPr>
          <w:p>
            <w:r>
              <w:rPr>
                <w:rFonts w:ascii="Calibri" w:hAnsi="Calibri"/>
                <w:sz w:val="22"/>
              </w:rPr>
              <w:t>$4.26</w:t>
            </w:r>
          </w:p>
        </w:tc>
        <w:tc>
          <w:tcPr>
            <w:tcW w:type="dxa" w:w="1234"/>
          </w:tcPr>
          <w:p>
            <w:r>
              <w:rPr>
                <w:rFonts w:ascii="Calibri" w:hAnsi="Calibri"/>
                <w:sz w:val="22"/>
              </w:rPr>
              <w:t>+16.7% YoY</w:t>
            </w:r>
          </w:p>
        </w:tc>
        <w:tc>
          <w:tcPr>
            <w:tcW w:type="dxa" w:w="1234"/>
          </w:tcPr>
          <w:p>
            <w:r>
              <w:rPr>
                <w:rFonts w:ascii="Calibri" w:hAnsi="Calibri"/>
                <w:sz w:val="22"/>
              </w:rPr>
              <w:t>Double-digit growth (FY27 commitment)</w:t>
            </w:r>
          </w:p>
        </w:tc>
        <w:tc>
          <w:tcPr>
            <w:tcW w:type="dxa" w:w="1234"/>
          </w:tcPr>
          <w:p>
            <w:r>
              <w:rPr>
                <w:rFonts w:ascii="Calibri" w:hAnsi="Calibri"/>
                <w:sz w:val="22"/>
              </w:rPr>
              <w:t>N/A</w:t>
            </w:r>
          </w:p>
        </w:tc>
      </w:tr>
      <w:tr>
        <w:tc>
          <w:tcPr>
            <w:tcW w:type="dxa" w:w="1234"/>
          </w:tcPr>
          <w:p>
            <w:r>
              <w:rPr>
                <w:rFonts w:ascii="Calibri" w:hAnsi="Calibri"/>
                <w:sz w:val="22"/>
              </w:rPr>
              <w:t>CapEx incl. Capital Leases ($B)</w:t>
            </w:r>
          </w:p>
        </w:tc>
        <w:tc>
          <w:tcPr>
            <w:tcW w:type="dxa" w:w="1234"/>
          </w:tcPr>
          <w:p>
            <w:r>
              <w:rPr>
                <w:rFonts w:ascii="Calibri" w:hAnsi="Calibri"/>
                <w:sz w:val="22"/>
              </w:rPr>
              <w:t>$31.9B</w:t>
            </w:r>
          </w:p>
        </w:tc>
        <w:tc>
          <w:tcPr>
            <w:tcW w:type="dxa" w:w="1234"/>
          </w:tcPr>
          <w:p>
            <w:r>
              <w:rPr>
                <w:rFonts w:ascii="Calibri" w:hAnsi="Calibri"/>
                <w:sz w:val="22"/>
              </w:rPr>
              <w:t>$24.2B</w:t>
            </w:r>
          </w:p>
        </w:tc>
        <w:tc>
          <w:tcPr>
            <w:tcW w:type="dxa" w:w="1234"/>
          </w:tcPr>
          <w:p>
            <w:r>
              <w:rPr>
                <w:rFonts w:ascii="Calibri" w:hAnsi="Calibri"/>
                <w:sz w:val="22"/>
              </w:rPr>
              <w:t>$42.4B</w:t>
            </w:r>
          </w:p>
        </w:tc>
        <w:tc>
          <w:tcPr>
            <w:tcW w:type="dxa" w:w="1234"/>
          </w:tcPr>
          <w:p>
            <w:r>
              <w:rPr>
                <w:rFonts w:ascii="Calibri" w:hAnsi="Calibri"/>
                <w:sz w:val="22"/>
              </w:rPr>
              <w:t>+75.2% YoY</w:t>
            </w:r>
          </w:p>
        </w:tc>
        <w:tc>
          <w:tcPr>
            <w:tcW w:type="dxa" w:w="1234"/>
          </w:tcPr>
          <w:p>
            <w:r>
              <w:rPr>
                <w:rFonts w:ascii="Calibri" w:hAnsi="Calibri"/>
                <w:sz w:val="22"/>
              </w:rPr>
              <w:t>&gt;$40B (explicit guide)</w:t>
            </w:r>
          </w:p>
        </w:tc>
        <w:tc>
          <w:tcPr>
            <w:tcW w:type="dxa" w:w="1234"/>
          </w:tcPr>
          <w:p>
            <w:r>
              <w:rPr>
                <w:rFonts w:ascii="Calibri" w:hAnsi="Calibri"/>
                <w:sz w:val="22"/>
              </w:rPr>
              <w:t>+5.9% above $40B floor</w:t>
            </w:r>
          </w:p>
        </w:tc>
      </w:tr>
      <w:tr>
        <w:tc>
          <w:tcPr>
            <w:tcW w:type="dxa" w:w="1234"/>
          </w:tcPr>
          <w:p>
            <w:r>
              <w:rPr>
                <w:rFonts w:ascii="Calibri" w:hAnsi="Calibri"/>
                <w:sz w:val="22"/>
              </w:rPr>
              <w:t>Commercial RPO ($B)</w:t>
            </w:r>
          </w:p>
        </w:tc>
        <w:tc>
          <w:tcPr>
            <w:tcW w:type="dxa" w:w="1234"/>
          </w:tcPr>
          <w:p>
            <w:r>
              <w:rPr>
                <w:rFonts w:ascii="Calibri" w:hAnsi="Calibri"/>
                <w:sz w:val="22"/>
              </w:rPr>
              <w:t>$627B</w:t>
            </w:r>
          </w:p>
        </w:tc>
        <w:tc>
          <w:tcPr>
            <w:tcW w:type="dxa" w:w="1234"/>
          </w:tcPr>
          <w:p>
            <w:r>
              <w:rPr>
                <w:rFonts w:ascii="Calibri" w:hAnsi="Calibri"/>
                <w:sz w:val="22"/>
              </w:rPr>
              <w:t>$368B</w:t>
            </w:r>
          </w:p>
        </w:tc>
        <w:tc>
          <w:tcPr>
            <w:tcW w:type="dxa" w:w="1234"/>
          </w:tcPr>
          <w:p>
            <w:r>
              <w:rPr>
                <w:rFonts w:ascii="Calibri" w:hAnsi="Calibri"/>
                <w:sz w:val="22"/>
              </w:rPr>
              <w:t>$651B</w:t>
            </w:r>
          </w:p>
        </w:tc>
        <w:tc>
          <w:tcPr>
            <w:tcW w:type="dxa" w:w="1234"/>
          </w:tcPr>
          <w:p>
            <w:r>
              <w:rPr>
                <w:rFonts w:ascii="Calibri" w:hAnsi="Calibri"/>
                <w:sz w:val="22"/>
              </w:rPr>
              <w:t>+76.9% YoY</w:t>
            </w:r>
          </w:p>
        </w:tc>
        <w:tc>
          <w:tcPr>
            <w:tcW w:type="dxa" w:w="1234"/>
          </w:tcPr>
          <w:p>
            <w:r>
              <w:rPr>
                <w:rFonts w:ascii="Calibri" w:hAnsi="Calibri"/>
                <w:sz w:val="22"/>
              </w:rPr>
              <w:t>No specific guide</w:t>
            </w:r>
          </w:p>
        </w:tc>
        <w:tc>
          <w:tcPr>
            <w:tcW w:type="dxa" w:w="1234"/>
          </w:tcPr>
          <w:p>
            <w:r>
              <w:rPr>
                <w:rFonts w:ascii="Calibri" w:hAnsi="Calibri"/>
                <w:sz w:val="22"/>
              </w:rPr>
              <w:t>N/A</w:t>
            </w:r>
          </w:p>
        </w:tc>
      </w:tr>
      <w:tr>
        <w:tc>
          <w:tcPr>
            <w:tcW w:type="dxa" w:w="1234"/>
          </w:tcPr>
          <w:p>
            <w:r>
              <w:rPr>
                <w:rFonts w:ascii="Calibri" w:hAnsi="Calibri"/>
                <w:sz w:val="22"/>
              </w:rPr>
              <w:t>Cloud Gross Margin — Service &amp; Other (%)</w:t>
            </w:r>
          </w:p>
        </w:tc>
        <w:tc>
          <w:tcPr>
            <w:tcW w:type="dxa" w:w="1234"/>
          </w:tcPr>
          <w:p>
            <w:r>
              <w:rPr>
                <w:rFonts w:ascii="Calibri" w:hAnsi="Calibri"/>
                <w:sz w:val="22"/>
              </w:rPr>
              <w:t>64.5%</w:t>
            </w:r>
          </w:p>
        </w:tc>
        <w:tc>
          <w:tcPr>
            <w:tcW w:type="dxa" w:w="1234"/>
          </w:tcPr>
          <w:p>
            <w:r>
              <w:rPr>
                <w:rFonts w:ascii="Calibri" w:hAnsi="Calibri"/>
                <w:sz w:val="22"/>
              </w:rPr>
              <w:t>65.1%</w:t>
            </w:r>
          </w:p>
        </w:tc>
        <w:tc>
          <w:tcPr>
            <w:tcW w:type="dxa" w:w="1234"/>
          </w:tcPr>
          <w:p>
            <w:r>
              <w:rPr>
                <w:rFonts w:ascii="Calibri" w:hAnsi="Calibri"/>
                <w:sz w:val="22"/>
              </w:rPr>
              <w:t>~63.2%</w:t>
            </w:r>
          </w:p>
        </w:tc>
        <w:tc>
          <w:tcPr>
            <w:tcW w:type="dxa" w:w="1234"/>
          </w:tcPr>
          <w:p>
            <w:r>
              <w:rPr>
                <w:rFonts w:ascii="Calibri" w:hAnsi="Calibri"/>
                <w:sz w:val="22"/>
              </w:rPr>
              <w:t>−1.9 pp YoY</w:t>
            </w:r>
          </w:p>
        </w:tc>
        <w:tc>
          <w:tcPr>
            <w:tcW w:type="dxa" w:w="1234"/>
          </w:tcPr>
          <w:p>
            <w:r>
              <w:rPr>
                <w:rFonts w:ascii="Calibri" w:hAnsi="Calibri"/>
                <w:sz w:val="22"/>
              </w:rPr>
              <w:t>Continued AI infra pressure</w:t>
            </w:r>
          </w:p>
        </w:tc>
        <w:tc>
          <w:tcPr>
            <w:tcW w:type="dxa" w:w="1234"/>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MSFT has beaten Azure CC growth consensus in 7 of the last 8 quarters, with the sole miss in Q2 FY2025 (31% vs. 32% expected) triggering a ~10% stock selloff. EPS has beaten consensus in all 8 quarters, with an average beat of ~7%. The consistent beat pattern has raised the bar — the market now expects Azure to beat the guided range, not just meet it.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shifted meaningfully more constructive on the Q3 FY2026 call — they explicitly guided for “modest acceleration” in Azure in H2 CY2026 and committed to double-digit revenue and operating income growth in FY27. No formal guidance revisions have been issued since the April 29 call, but the Mistral and Databricks partnership expansions (July 2026) reinforce the Azure demand narrative.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FY2026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Azure CC Growth (Q4 FY2026)</w:t>
            </w:r>
          </w:p>
        </w:tc>
        <w:tc>
          <w:tcPr>
            <w:tcW w:type="dxa" w:w="1728"/>
          </w:tcPr>
          <w:p>
            <w:r>
              <w:rPr>
                <w:rFonts w:ascii="Calibri" w:hAnsi="Calibri"/>
                <w:sz w:val="22"/>
              </w:rPr>
              <w:t>39–40% CC</w:t>
            </w:r>
          </w:p>
        </w:tc>
        <w:tc>
          <w:tcPr>
            <w:tcW w:type="dxa" w:w="1728"/>
          </w:tcPr>
          <w:p>
            <w:r>
              <w:rPr>
                <w:rFonts w:ascii="Calibri" w:hAnsi="Calibri"/>
                <w:sz w:val="22"/>
              </w:rPr>
              <w:t>—</w:t>
            </w:r>
          </w:p>
        </w:tc>
        <w:tc>
          <w:tcPr>
            <w:tcW w:type="dxa" w:w="1728"/>
          </w:tcPr>
          <w:p>
            <w:r>
              <w:rPr>
                <w:rFonts w:ascii="Calibri" w:hAnsi="Calibri"/>
                <w:sz w:val="22"/>
              </w:rPr>
              <w:t>~39.7% CC</w:t>
            </w:r>
          </w:p>
        </w:tc>
        <w:tc>
          <w:tcPr>
            <w:tcW w:type="dxa" w:w="1728"/>
          </w:tcPr>
          <w:p>
            <w:r>
              <w:rPr>
                <w:rFonts w:ascii="Calibri" w:hAnsi="Calibri"/>
                <w:sz w:val="22"/>
              </w:rPr>
              <w:t>Unchanged; consensus at midpoint of range. Management signaled “modest acceleration” in H2 CY2026 vs. H1.</w:t>
            </w:r>
          </w:p>
        </w:tc>
      </w:tr>
      <w:tr>
        <w:tc>
          <w:tcPr>
            <w:tcW w:type="dxa" w:w="1728"/>
          </w:tcPr>
          <w:p>
            <w:r>
              <w:rPr>
                <w:rFonts w:ascii="Calibri" w:hAnsi="Calibri"/>
                <w:sz w:val="22"/>
              </w:rPr>
              <w:t>Total Revenue (Q4 FY2026)</w:t>
            </w:r>
          </w:p>
        </w:tc>
        <w:tc>
          <w:tcPr>
            <w:tcW w:type="dxa" w:w="1728"/>
          </w:tcPr>
          <w:p>
            <w:r>
              <w:rPr>
                <w:rFonts w:ascii="Calibri" w:hAnsi="Calibri"/>
                <w:sz w:val="22"/>
              </w:rPr>
              <w:t>~$87.9B midpoint (implied by segment guides)</w:t>
            </w:r>
          </w:p>
        </w:tc>
        <w:tc>
          <w:tcPr>
            <w:tcW w:type="dxa" w:w="1728"/>
          </w:tcPr>
          <w:p>
            <w:r>
              <w:rPr>
                <w:rFonts w:ascii="Calibri" w:hAnsi="Calibri"/>
                <w:sz w:val="22"/>
              </w:rPr>
              <w:t>—</w:t>
            </w:r>
          </w:p>
        </w:tc>
        <w:tc>
          <w:tcPr>
            <w:tcW w:type="dxa" w:w="1728"/>
          </w:tcPr>
          <w:p>
            <w:r>
              <w:rPr>
                <w:rFonts w:ascii="Calibri" w:hAnsi="Calibri"/>
                <w:sz w:val="22"/>
              </w:rPr>
              <w:t>$87.7B</w:t>
            </w:r>
          </w:p>
        </w:tc>
        <w:tc>
          <w:tcPr>
            <w:tcW w:type="dxa" w:w="1728"/>
          </w:tcPr>
          <w:p>
            <w:r>
              <w:rPr>
                <w:rFonts w:ascii="Calibri" w:hAnsi="Calibri"/>
                <w:sz w:val="22"/>
              </w:rPr>
              <w:t>Consensus slightly below implied midpoint; no post-earnings revision.</w:t>
            </w:r>
          </w:p>
        </w:tc>
      </w:tr>
      <w:tr>
        <w:tc>
          <w:tcPr>
            <w:tcW w:type="dxa" w:w="1728"/>
          </w:tcPr>
          <w:p>
            <w:r>
              <w:rPr>
                <w:rFonts w:ascii="Calibri" w:hAnsi="Calibri"/>
                <w:sz w:val="22"/>
              </w:rPr>
              <w:t>M365 Commercial Cloud CC Growth (Q4 FY2026)</w:t>
            </w:r>
          </w:p>
        </w:tc>
        <w:tc>
          <w:tcPr>
            <w:tcW w:type="dxa" w:w="1728"/>
          </w:tcPr>
          <w:p>
            <w:r>
              <w:rPr>
                <w:rFonts w:ascii="Calibri" w:hAnsi="Calibri"/>
                <w:sz w:val="22"/>
              </w:rPr>
              <w:t>15–16% CC (normalized for prior year rev rec)</w:t>
            </w:r>
          </w:p>
        </w:tc>
        <w:tc>
          <w:tcPr>
            <w:tcW w:type="dxa" w:w="1728"/>
          </w:tcPr>
          <w:p>
            <w:r>
              <w:rPr>
                <w:rFonts w:ascii="Calibri" w:hAnsi="Calibri"/>
                <w:sz w:val="22"/>
              </w:rPr>
              <w:t>—</w:t>
            </w:r>
          </w:p>
        </w:tc>
        <w:tc>
          <w:tcPr>
            <w:tcW w:type="dxa" w:w="1728"/>
          </w:tcPr>
          <w:p>
            <w:r>
              <w:rPr>
                <w:rFonts w:ascii="Calibri" w:hAnsi="Calibri"/>
                <w:sz w:val="22"/>
              </w:rPr>
              <w:t>~14.2% YoY</w:t>
            </w:r>
          </w:p>
        </w:tc>
        <w:tc>
          <w:tcPr>
            <w:tcW w:type="dxa" w:w="1728"/>
          </w:tcPr>
          <w:p>
            <w:r>
              <w:rPr>
                <w:rFonts w:ascii="Calibri" w:hAnsi="Calibri"/>
                <w:sz w:val="22"/>
              </w:rPr>
              <w:t>Consensus slightly below guide; Copilot seat momentum (20M+) is a positive driver.</w:t>
            </w:r>
          </w:p>
        </w:tc>
      </w:tr>
      <w:tr>
        <w:tc>
          <w:tcPr>
            <w:tcW w:type="dxa" w:w="1728"/>
          </w:tcPr>
          <w:p>
            <w:r>
              <w:rPr>
                <w:rFonts w:ascii="Calibri" w:hAnsi="Calibri"/>
                <w:sz w:val="22"/>
              </w:rPr>
              <w:t>CapEx incl. Capital Leases (Q4 FY2026)</w:t>
            </w:r>
          </w:p>
        </w:tc>
        <w:tc>
          <w:tcPr>
            <w:tcW w:type="dxa" w:w="1728"/>
          </w:tcPr>
          <w:p>
            <w:r>
              <w:rPr>
                <w:rFonts w:ascii="Calibri" w:hAnsi="Calibri"/>
                <w:sz w:val="22"/>
              </w:rPr>
              <w:t>&gt;$40B (explicit floor)</w:t>
            </w:r>
          </w:p>
        </w:tc>
        <w:tc>
          <w:tcPr>
            <w:tcW w:type="dxa" w:w="1728"/>
          </w:tcPr>
          <w:p>
            <w:r>
              <w:rPr>
                <w:rFonts w:ascii="Calibri" w:hAnsi="Calibri"/>
                <w:sz w:val="22"/>
              </w:rPr>
              <w:t>—</w:t>
            </w:r>
          </w:p>
        </w:tc>
        <w:tc>
          <w:tcPr>
            <w:tcW w:type="dxa" w:w="1728"/>
          </w:tcPr>
          <w:p>
            <w:r>
              <w:rPr>
                <w:rFonts w:ascii="Calibri" w:hAnsi="Calibri"/>
                <w:sz w:val="22"/>
              </w:rPr>
              <w:t>$42.4B</w:t>
            </w:r>
          </w:p>
        </w:tc>
        <w:tc>
          <w:tcPr>
            <w:tcW w:type="dxa" w:w="1728"/>
          </w:tcPr>
          <w:p>
            <w:r>
              <w:rPr>
                <w:rFonts w:ascii="Calibri" w:hAnsi="Calibri"/>
                <w:sz w:val="22"/>
              </w:rPr>
              <w:t>Consensus above the $40B floor; ~$5B of sequential increase attributed to higher component pricing (memory/GPU). CY2026 total guided at ~$190B.</w:t>
            </w:r>
          </w:p>
        </w:tc>
      </w:tr>
      <w:tr>
        <w:tc>
          <w:tcPr>
            <w:tcW w:type="dxa" w:w="1728"/>
          </w:tcPr>
          <w:p>
            <w:r>
              <w:rPr>
                <w:rFonts w:ascii="Calibri" w:hAnsi="Calibri"/>
                <w:sz w:val="22"/>
              </w:rPr>
              <w:t>FY2026 Operating Margin (full year)</w:t>
            </w:r>
          </w:p>
        </w:tc>
        <w:tc>
          <w:tcPr>
            <w:tcW w:type="dxa" w:w="1728"/>
          </w:tcPr>
          <w:p>
            <w:r>
              <w:rPr>
                <w:rFonts w:ascii="Calibri" w:hAnsi="Calibri"/>
                <w:sz w:val="22"/>
              </w:rPr>
              <w:t>Up ~1 pp YoY (ex-OpenAI investment impact)</w:t>
            </w:r>
          </w:p>
        </w:tc>
        <w:tc>
          <w:tcPr>
            <w:tcW w:type="dxa" w:w="1728"/>
          </w:tcPr>
          <w:p>
            <w:r>
              <w:rPr>
                <w:rFonts w:ascii="Calibri" w:hAnsi="Calibri"/>
                <w:sz w:val="22"/>
              </w:rPr>
              <w:t>—</w:t>
            </w:r>
          </w:p>
        </w:tc>
        <w:tc>
          <w:tcPr>
            <w:tcW w:type="dxa" w:w="1728"/>
          </w:tcPr>
          <w:p>
            <w:r>
              <w:rPr>
                <w:rFonts w:ascii="Calibri" w:hAnsi="Calibri"/>
                <w:sz w:val="22"/>
              </w:rPr>
              <w:t>Tracking to guidance</w:t>
            </w:r>
          </w:p>
        </w:tc>
        <w:tc>
          <w:tcPr>
            <w:tcW w:type="dxa" w:w="1728"/>
          </w:tcPr>
          <w:p>
            <w:r>
              <w:rPr>
                <w:rFonts w:ascii="Calibri" w:hAnsi="Calibri"/>
                <w:sz w:val="22"/>
              </w:rPr>
              <w:t>Upgraded from flat to slightly up at Q3 call; voluntary retirement program one-time costs expected in Q4.</w:t>
            </w:r>
          </w:p>
        </w:tc>
      </w:tr>
      <w:tr>
        <w:tc>
          <w:tcPr>
            <w:tcW w:type="dxa" w:w="1728"/>
          </w:tcPr>
          <w:p>
            <w:r>
              <w:rPr>
                <w:rFonts w:ascii="Calibri" w:hAnsi="Calibri"/>
                <w:sz w:val="22"/>
              </w:rPr>
              <w:t>FY2027 Outlook</w:t>
            </w:r>
          </w:p>
        </w:tc>
        <w:tc>
          <w:tcPr>
            <w:tcW w:type="dxa" w:w="1728"/>
          </w:tcPr>
          <w:p>
            <w:r>
              <w:rPr>
                <w:rFonts w:ascii="Calibri" w:hAnsi="Calibri"/>
                <w:sz w:val="22"/>
              </w:rPr>
              <w:t>Double-digit revenue and operating income growth; opex growth mid-to-high single digits; headcount to decline YoY</w:t>
            </w:r>
          </w:p>
        </w:tc>
        <w:tc>
          <w:tcPr>
            <w:tcW w:type="dxa" w:w="1728"/>
          </w:tcPr>
          <w:p>
            <w:r>
              <w:rPr>
                <w:rFonts w:ascii="Calibri" w:hAnsi="Calibri"/>
                <w:sz w:val="22"/>
              </w:rPr>
              <w:t>—</w:t>
            </w:r>
          </w:p>
        </w:tc>
        <w:tc>
          <w:tcPr>
            <w:tcW w:type="dxa" w:w="1728"/>
          </w:tcPr>
          <w:p>
            <w:r>
              <w:rPr>
                <w:rFonts w:ascii="Calibri" w:hAnsi="Calibri"/>
                <w:sz w:val="22"/>
              </w:rPr>
              <w:t>FY27 consensus: $385.2B revenue, $19.45 EPS</w:t>
            </w:r>
          </w:p>
        </w:tc>
        <w:tc>
          <w:tcPr>
            <w:tcW w:type="dxa" w:w="1728"/>
          </w:tcPr>
          <w:p>
            <w:r>
              <w:rPr>
                <w:rFonts w:ascii="Calibri" w:hAnsi="Calibri"/>
                <w:sz w:val="22"/>
              </w:rPr>
              <w:t>First explicit FY27 commitment; signals management confidence in AI monetization trajectory.</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Q3 FY2026 print — Azure consensus moved only marginally (+0.0 pp) and total revenue estimates are essentially flat. This suggests the Street has fully digested management’s guidance without building in meaningful upside or downside, leaving the bar achievable but not easy. </w:t>
      </w:r>
      <w:r>
        <w:rPr>
          <w:rFonts w:ascii="Calibri" w:hAnsi="Calibri"/>
          <w:b/>
          <w:color w:val="525866"/>
          <w:sz w:val="22"/>
        </w:rPr>
        <w:t>FY2027 CapEx estimates ($234.8B) are the key watch item</w:t>
      </w:r>
      <w:r>
        <w:rPr>
          <w:rFonts w:ascii="Calibri" w:hAnsi="Calibri"/>
          <w:color w:val="525866"/>
          <w:sz w:val="22"/>
        </w:rPr>
        <w:t xml:space="preserve"> — any upward revision on the call would likely pressure the stock.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May 4, 2026 (5 days post Q3 print)</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Azure CC Growth — Q4 FY2026</w:t>
            </w:r>
          </w:p>
        </w:tc>
        <w:tc>
          <w:tcPr>
            <w:tcW w:type="dxa" w:w="1080"/>
          </w:tcPr>
          <w:p>
            <w:r>
              <w:rPr>
                <w:rFonts w:ascii="Calibri" w:hAnsi="Calibri"/>
                <w:sz w:val="22"/>
              </w:rPr>
              <w:t>39.72%</w:t>
            </w:r>
          </w:p>
        </w:tc>
        <w:tc>
          <w:tcPr>
            <w:tcW w:type="dxa" w:w="1080"/>
          </w:tcPr>
          <w:p>
            <w:r>
              <w:rPr>
                <w:rFonts w:ascii="Calibri" w:hAnsi="Calibri"/>
                <w:sz w:val="22"/>
              </w:rPr>
              <w:t>39.73%</w:t>
            </w:r>
          </w:p>
        </w:tc>
        <w:tc>
          <w:tcPr>
            <w:tcW w:type="dxa" w:w="1080"/>
          </w:tcPr>
          <w:p>
            <w:r>
              <w:rPr>
                <w:rFonts w:ascii="Calibri" w:hAnsi="Calibri"/>
                <w:sz w:val="22"/>
              </w:rPr>
              <w:t>+0.0 pp</w:t>
            </w:r>
          </w:p>
        </w:tc>
        <w:tc>
          <w:tcPr>
            <w:tcW w:type="dxa" w:w="1080"/>
          </w:tcPr>
          <w:p>
            <w:r>
              <w:rPr>
                <w:rFonts w:ascii="Calibri" w:hAnsi="Calibri"/>
                <w:sz w:val="22"/>
              </w:rPr>
              <w:t>39–40%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midpoint (39.5%)</w:t>
            </w:r>
          </w:p>
        </w:tc>
      </w:tr>
      <w:tr>
        <w:tc>
          <w:tcPr>
            <w:tcW w:type="dxa" w:w="1080"/>
          </w:tcPr>
          <w:p>
            <w:r>
              <w:rPr>
                <w:rFonts w:ascii="Calibri" w:hAnsi="Calibri"/>
                <w:sz w:val="22"/>
              </w:rPr>
              <w:t>Azure CC Growth — FY2026</w:t>
            </w:r>
          </w:p>
        </w:tc>
        <w:tc>
          <w:tcPr>
            <w:tcW w:type="dxa" w:w="1080"/>
          </w:tcPr>
          <w:p>
            <w:r>
              <w:rPr>
                <w:rFonts w:ascii="Calibri" w:hAnsi="Calibri"/>
                <w:sz w:val="22"/>
              </w:rPr>
              <w:t>38.83%</w:t>
            </w:r>
          </w:p>
        </w:tc>
        <w:tc>
          <w:tcPr>
            <w:tcW w:type="dxa" w:w="1080"/>
          </w:tcPr>
          <w:p>
            <w:r>
              <w:rPr>
                <w:rFonts w:ascii="Calibri" w:hAnsi="Calibri"/>
                <w:sz w:val="22"/>
              </w:rPr>
              <w:t>38.83%</w:t>
            </w:r>
          </w:p>
        </w:tc>
        <w:tc>
          <w:tcPr>
            <w:tcW w:type="dxa" w:w="1080"/>
          </w:tcPr>
          <w:p>
            <w:r>
              <w:rPr>
                <w:rFonts w:ascii="Calibri" w:hAnsi="Calibri"/>
                <w:sz w:val="22"/>
              </w:rPr>
              <w:t>0.0 pp</w:t>
            </w:r>
          </w:p>
        </w:tc>
        <w:tc>
          <w:tcPr>
            <w:tcW w:type="dxa" w:w="1080"/>
          </w:tcPr>
          <w:p>
            <w:r>
              <w:rPr>
                <w:rFonts w:ascii="Calibri" w:hAnsi="Calibri"/>
                <w:sz w:val="22"/>
              </w:rPr>
              <w:t>Modest acceleration H2 CY2026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guidance</w:t>
            </w:r>
          </w:p>
        </w:tc>
      </w:tr>
      <w:tr>
        <w:tc>
          <w:tcPr>
            <w:tcW w:type="dxa" w:w="1080"/>
          </w:tcPr>
          <w:p>
            <w:r>
              <w:rPr>
                <w:rFonts w:ascii="Calibri" w:hAnsi="Calibri"/>
                <w:sz w:val="22"/>
              </w:rPr>
              <w:t>Total Revenue — Q4 FY2026 ($B)</w:t>
            </w:r>
          </w:p>
        </w:tc>
        <w:tc>
          <w:tcPr>
            <w:tcW w:type="dxa" w:w="1080"/>
          </w:tcPr>
          <w:p>
            <w:r>
              <w:rPr>
                <w:rFonts w:ascii="Calibri" w:hAnsi="Calibri"/>
                <w:sz w:val="22"/>
              </w:rPr>
              <w:t>$87.57B</w:t>
            </w:r>
          </w:p>
        </w:tc>
        <w:tc>
          <w:tcPr>
            <w:tcW w:type="dxa" w:w="1080"/>
          </w:tcPr>
          <w:p>
            <w:r>
              <w:rPr>
                <w:rFonts w:ascii="Calibri" w:hAnsi="Calibri"/>
                <w:sz w:val="22"/>
              </w:rPr>
              <w:t>$87.71B</w:t>
            </w:r>
          </w:p>
        </w:tc>
        <w:tc>
          <w:tcPr>
            <w:tcW w:type="dxa" w:w="1080"/>
          </w:tcPr>
          <w:p>
            <w:r>
              <w:rPr>
                <w:rFonts w:ascii="Calibri" w:hAnsi="Calibri"/>
                <w:sz w:val="22"/>
              </w:rPr>
              <w:t>+0.2%</w:t>
            </w:r>
          </w:p>
        </w:tc>
        <w:tc>
          <w:tcPr>
            <w:tcW w:type="dxa" w:w="1080"/>
          </w:tcPr>
          <w:p>
            <w:r>
              <w:rPr>
                <w:rFonts w:ascii="Calibri" w:hAnsi="Calibri"/>
                <w:sz w:val="22"/>
              </w:rPr>
              <w:t>~$87.9B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midpoint</w:t>
            </w:r>
          </w:p>
        </w:tc>
      </w:tr>
      <w:tr>
        <w:tc>
          <w:tcPr>
            <w:tcW w:type="dxa" w:w="1080"/>
          </w:tcPr>
          <w:p>
            <w:r>
              <w:rPr>
                <w:rFonts w:ascii="Calibri" w:hAnsi="Calibri"/>
                <w:sz w:val="22"/>
              </w:rPr>
              <w:t>Total Revenue — FY2026 ($B)</w:t>
            </w:r>
          </w:p>
        </w:tc>
        <w:tc>
          <w:tcPr>
            <w:tcW w:type="dxa" w:w="1080"/>
          </w:tcPr>
          <w:p>
            <w:r>
              <w:rPr>
                <w:rFonts w:ascii="Calibri" w:hAnsi="Calibri"/>
                <w:sz w:val="22"/>
              </w:rPr>
              <w:t>$329.42B</w:t>
            </w:r>
          </w:p>
        </w:tc>
        <w:tc>
          <w:tcPr>
            <w:tcW w:type="dxa" w:w="1080"/>
          </w:tcPr>
          <w:p>
            <w:r>
              <w:rPr>
                <w:rFonts w:ascii="Calibri" w:hAnsi="Calibri"/>
                <w:sz w:val="22"/>
              </w:rPr>
              <w:t>$329.55B</w:t>
            </w:r>
          </w:p>
        </w:tc>
        <w:tc>
          <w:tcPr>
            <w:tcW w:type="dxa" w:w="1080"/>
          </w:tcPr>
          <w:p>
            <w:r>
              <w:rPr>
                <w:rFonts w:ascii="Calibri" w:hAnsi="Calibri"/>
                <w:sz w:val="22"/>
              </w:rPr>
              <w:t>+0.0%</w:t>
            </w:r>
          </w:p>
        </w:tc>
        <w:tc>
          <w:tcPr>
            <w:tcW w:type="dxa" w:w="1080"/>
          </w:tcPr>
          <w:p>
            <w:r>
              <w:rPr>
                <w:rFonts w:ascii="Calibri" w:hAnsi="Calibri"/>
                <w:sz w:val="22"/>
              </w:rPr>
              <w:t>Double-digit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w:t>
            </w:r>
          </w:p>
        </w:tc>
      </w:tr>
      <w:tr>
        <w:tc>
          <w:tcPr>
            <w:tcW w:type="dxa" w:w="1080"/>
          </w:tcPr>
          <w:p>
            <w:r>
              <w:rPr>
                <w:rFonts w:ascii="Calibri" w:hAnsi="Calibri"/>
                <w:sz w:val="22"/>
              </w:rPr>
              <w:t>EPS (Operating) — Q4 FY2026 ($)</w:t>
            </w:r>
          </w:p>
        </w:tc>
        <w:tc>
          <w:tcPr>
            <w:tcW w:type="dxa" w:w="1080"/>
          </w:tcPr>
          <w:p>
            <w:r>
              <w:rPr>
                <w:rFonts w:ascii="Calibri" w:hAnsi="Calibri"/>
                <w:sz w:val="22"/>
              </w:rPr>
              <w:t>$4.24</w:t>
            </w:r>
          </w:p>
        </w:tc>
        <w:tc>
          <w:tcPr>
            <w:tcW w:type="dxa" w:w="1080"/>
          </w:tcPr>
          <w:p>
            <w:r>
              <w:rPr>
                <w:rFonts w:ascii="Calibri" w:hAnsi="Calibri"/>
                <w:sz w:val="22"/>
              </w:rPr>
              <w:t>$4.26</w:t>
            </w:r>
          </w:p>
        </w:tc>
        <w:tc>
          <w:tcPr>
            <w:tcW w:type="dxa" w:w="1080"/>
          </w:tcPr>
          <w:p>
            <w:r>
              <w:rPr>
                <w:rFonts w:ascii="Calibri" w:hAnsi="Calibri"/>
                <w:sz w:val="22"/>
              </w:rPr>
              <w:t>+0.5%</w:t>
            </w:r>
          </w:p>
        </w:tc>
        <w:tc>
          <w:tcPr>
            <w:tcW w:type="dxa" w:w="1080"/>
          </w:tcPr>
          <w:p>
            <w:r>
              <w:rPr>
                <w:rFonts w:ascii="Calibri" w:hAnsi="Calibri"/>
                <w:sz w:val="22"/>
              </w:rPr>
              <w:t>Double-digit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w:t>
            </w:r>
          </w:p>
        </w:tc>
      </w:tr>
      <w:tr>
        <w:tc>
          <w:tcPr>
            <w:tcW w:type="dxa" w:w="1080"/>
          </w:tcPr>
          <w:p>
            <w:r>
              <w:rPr>
                <w:rFonts w:ascii="Calibri" w:hAnsi="Calibri"/>
                <w:sz w:val="22"/>
              </w:rPr>
              <w:t>EPS (Operating) — FY2026 ($)</w:t>
            </w:r>
          </w:p>
        </w:tc>
        <w:tc>
          <w:tcPr>
            <w:tcW w:type="dxa" w:w="1080"/>
          </w:tcPr>
          <w:p>
            <w:r>
              <w:rPr>
                <w:rFonts w:ascii="Calibri" w:hAnsi="Calibri"/>
                <w:sz w:val="22"/>
              </w:rPr>
              <w:t>$16.85</w:t>
            </w:r>
          </w:p>
        </w:tc>
        <w:tc>
          <w:tcPr>
            <w:tcW w:type="dxa" w:w="1080"/>
          </w:tcPr>
          <w:p>
            <w:r>
              <w:rPr>
                <w:rFonts w:ascii="Calibri" w:hAnsi="Calibri"/>
                <w:sz w:val="22"/>
              </w:rPr>
              <w:t>$16.93</w:t>
            </w:r>
          </w:p>
        </w:tc>
        <w:tc>
          <w:tcPr>
            <w:tcW w:type="dxa" w:w="1080"/>
          </w:tcPr>
          <w:p>
            <w:r>
              <w:rPr>
                <w:rFonts w:ascii="Calibri" w:hAnsi="Calibri"/>
                <w:sz w:val="22"/>
              </w:rPr>
              <w:t>+0.5%</w:t>
            </w:r>
          </w:p>
        </w:tc>
        <w:tc>
          <w:tcPr>
            <w:tcW w:type="dxa" w:w="1080"/>
          </w:tcPr>
          <w:p>
            <w:r>
              <w:rPr>
                <w:rFonts w:ascii="Calibri" w:hAnsi="Calibri"/>
                <w:sz w:val="22"/>
              </w:rPr>
              <w:t>Up ~1 pp margin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w:t>
            </w:r>
          </w:p>
        </w:tc>
      </w:tr>
      <w:tr>
        <w:tc>
          <w:tcPr>
            <w:tcW w:type="dxa" w:w="1080"/>
          </w:tcPr>
          <w:p>
            <w:r>
              <w:rPr>
                <w:rFonts w:ascii="Calibri" w:hAnsi="Calibri"/>
                <w:sz w:val="22"/>
              </w:rPr>
              <w:t>CapEx incl. Leases — Q4 FY2026 ($B)</w:t>
            </w:r>
          </w:p>
        </w:tc>
        <w:tc>
          <w:tcPr>
            <w:tcW w:type="dxa" w:w="1080"/>
          </w:tcPr>
          <w:p>
            <w:r>
              <w:rPr>
                <w:rFonts w:ascii="Calibri" w:hAnsi="Calibri"/>
                <w:sz w:val="22"/>
              </w:rPr>
              <w:t>$41.99B</w:t>
            </w:r>
          </w:p>
        </w:tc>
        <w:tc>
          <w:tcPr>
            <w:tcW w:type="dxa" w:w="1080"/>
          </w:tcPr>
          <w:p>
            <w:r>
              <w:rPr>
                <w:rFonts w:ascii="Calibri" w:hAnsi="Calibri"/>
                <w:sz w:val="22"/>
              </w:rPr>
              <w:t>$42.37B</w:t>
            </w:r>
          </w:p>
        </w:tc>
        <w:tc>
          <w:tcPr>
            <w:tcW w:type="dxa" w:w="1080"/>
          </w:tcPr>
          <w:p>
            <w:r>
              <w:rPr>
                <w:rFonts w:ascii="Calibri" w:hAnsi="Calibri"/>
                <w:sz w:val="22"/>
              </w:rPr>
              <w:t>+0.9%</w:t>
            </w:r>
          </w:p>
        </w:tc>
        <w:tc>
          <w:tcPr>
            <w:tcW w:type="dxa" w:w="1080"/>
          </w:tcPr>
          <w:p>
            <w:r>
              <w:rPr>
                <w:rFonts w:ascii="Calibri" w:hAnsi="Calibri"/>
                <w:sz w:val="22"/>
              </w:rPr>
              <w:t>&gt;$40B (floor)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+5.9% above floor</w:t>
            </w:r>
          </w:p>
        </w:tc>
      </w:tr>
      <w:tr>
        <w:tc>
          <w:tcPr>
            <w:tcW w:type="dxa" w:w="1080"/>
          </w:tcPr>
          <w:p>
            <w:r>
              <w:rPr>
                <w:rFonts w:ascii="Calibri" w:hAnsi="Calibri"/>
                <w:sz w:val="22"/>
              </w:rPr>
              <w:t>CapEx incl. Leases — FY2027 ($B)</w:t>
            </w:r>
          </w:p>
        </w:tc>
        <w:tc>
          <w:tcPr>
            <w:tcW w:type="dxa" w:w="1080"/>
          </w:tcPr>
          <w:p>
            <w:r>
              <w:rPr>
                <w:rFonts w:ascii="Calibri" w:hAnsi="Calibri"/>
                <w:sz w:val="22"/>
              </w:rPr>
              <w:t>$229.7B</w:t>
            </w:r>
          </w:p>
        </w:tc>
        <w:tc>
          <w:tcPr>
            <w:tcW w:type="dxa" w:w="1080"/>
          </w:tcPr>
          <w:p>
            <w:r>
              <w:rPr>
                <w:rFonts w:ascii="Calibri" w:hAnsi="Calibri"/>
                <w:sz w:val="22"/>
              </w:rPr>
              <w:t>$234.8B</w:t>
            </w:r>
          </w:p>
        </w:tc>
        <w:tc>
          <w:tcPr>
            <w:tcW w:type="dxa" w:w="1080"/>
          </w:tcPr>
          <w:p>
            <w:r>
              <w:rPr>
                <w:rFonts w:ascii="Calibri" w:hAnsi="Calibri"/>
                <w:sz w:val="22"/>
              </w:rPr>
              <w:t>+2.2%</w:t>
            </w:r>
          </w:p>
        </w:tc>
        <w:tc>
          <w:tcPr>
            <w:tcW w:type="dxa" w:w="1080"/>
          </w:tcPr>
          <w:p>
            <w:r>
              <w:rPr>
                <w:rFonts w:ascii="Calibri" w:hAnsi="Calibri"/>
                <w:sz w:val="22"/>
              </w:rPr>
              <w:t>~$190B CY2026 (partial overlap)</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Key watch item for FY27 guide</w:t>
            </w:r>
          </w:p>
        </w:tc>
      </w:tr>
    </w:tbl>
    <w:p>
      <w:r>
        <w:rPr>
          <w:rFonts w:ascii="Calibri" w:hAnsi="Calibri"/>
          <w:color w:val="525866"/>
          <w:sz w:val="22"/>
        </w:rPr>
        <w:t>Estimates have been remarkably stable since the Q3 FY2026 print, with Azure consensus essentially unchanged at ~39.7% and total revenue up just 0.2%. The Street has fully priced in management’s guided range without building in upside, which means a beat above 40% Azure growth would be a positive catalyst while an in-line print may not move the stock materially. The FY2027 CapEx estimate of $234.8B (up 2.2% since the print) is the key watch item — any upward revision on the call would likely pressure the stock.</w:t>
      </w:r>
    </w:p>
    <w:p>
      <w:r>
        <w:rPr>
          <w:rFonts w:ascii="Calibri" w:hAnsi="Calibri"/>
          <w:i/>
          <w:color w:val="525866"/>
          <w:sz w:val="22"/>
        </w:rPr>
        <w:t>Source: Visible Alpha consensus and actuals data. Baseline as of May 4, 2026 (5 trading days post Q3 FY2026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MSFT has significantly underperformed both IGV (software ETF) and the S&amp;P 500 since the Q3 FY2026 print, falling ~7% from $424 to ~$393 while the S&amp;P 500 is roughly flat (+4%) and IGV is up ~8%. The de-rating reflects persistent investor skepticism about CapEx ROI and the OpenAI partnership restructuring — the stock is pricing in risk, not a beat.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MSFT vs. IGV (iShares Expanded Tech-Software ETF) vs. S&amp;P 500 — Indexed to 100 at April 29, 2026 (Q3 FY2026 Earnings). Source: Stock Price Data.</w:t>
      </w:r>
    </w:p>
    <w:p>
      <w:r>
        <w:rPr>
          <w:rFonts w:ascii="Calibri" w:hAnsi="Calibri"/>
          <w:color w:val="525866"/>
          <w:sz w:val="22"/>
        </w:rPr>
        <w:t xml:space="preserve">Since the Q3 FY2026 earnings print on April 29, 2026, MSFT has declined approximately 7% (from $424.46 to ~$393), while the S&amp;P 500 (SPY) has gained ~4% and IGV (iShares Expanded Tech-Software ETF) has gained ~8% over the same period. The stock initially sold off ~5% in the days following the print despite beating on all metrics, as investors focused on the record CapEx guidance (&gt;$40B in Q4, ~$190B for CY2026) and the OpenAI partnership restructuring announced two days before earnings. A brief rally to $460 in late May/early June was followed by a sharp reversal to lows near $353 in late June, driven by broader tech sector rotation and continued CapEx concerns. The stock has partially recovered to ~$393 heading into Q4 earnings. Key events marked on the chart include: the Q3 FY2026 earnings print (April 29), the OpenAI partnership restructuring (April 27), the Mistral partnership expansion (July 21), and the Databricks partnership expansion (July 23). The sector ETF used is </w:t>
      </w:r>
      <w:r>
        <w:rPr>
          <w:rFonts w:ascii="Calibri" w:hAnsi="Calibri"/>
          <w:b/>
          <w:color w:val="525866"/>
          <w:sz w:val="22"/>
        </w:rPr>
        <w:t>IGV (iShares Expanded Tech-Software Sector ETF)</w:t>
      </w:r>
      <w:r>
        <w:rPr>
          <w:rFonts w:ascii="Calibri" w:hAnsi="Calibri"/>
          <w:color w:val="525866"/>
          <w:sz w:val="22"/>
        </w:rPr>
        <w:t>, which is appropriate for MSFT’s cloud/software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last earnings is the </w:t>
      </w:r>
      <w:r>
        <w:rPr>
          <w:rFonts w:ascii="Calibri" w:hAnsi="Calibri"/>
          <w:b/>
          <w:color w:val="525866"/>
          <w:sz w:val="22"/>
        </w:rPr>
        <w:t>OpenAI partnership restructuring (April 27, 2026)</w:t>
      </w:r>
      <w:r>
        <w:rPr>
          <w:rFonts w:ascii="Calibri" w:hAnsi="Calibri"/>
          <w:color w:val="525866"/>
          <w:sz w:val="22"/>
        </w:rPr>
        <w:t xml:space="preserve"> — Microsoft eliminated its revenue share payments to OpenAI in exchange for the license becoming non-exclusive through 2032, which is a net positive for margins but raises competitive risk questions. The Mistral and Databricks partnership expansions in July reinforce Azure demand momentum heading into the print.</w:t>
      </w:r>
    </w:p>
    <w:p>
      <w:pPr>
        <w:pStyle w:val="ListBullet"/>
        <w:ind w:left="360" w:hanging="360"/>
      </w:pPr>
      <w:r>
        <w:rPr>
          <w:rFonts w:ascii="Calibri" w:hAnsi="Calibri"/>
          <w:b/>
          <w:color w:val="525866"/>
          <w:sz w:val="22"/>
        </w:rPr>
        <w:t>April 27, 2026 — OpenAI Partnership Restructured:</w:t>
      </w:r>
      <w:r>
        <w:rPr>
          <w:rFonts w:ascii="Calibri" w:hAnsi="Calibri"/>
          <w:color w:val="525866"/>
          <w:sz w:val="22"/>
        </w:rPr>
        <w:t xml:space="preserve"> Microsoft eliminated its revenue share payments to OpenAI; the IP license becomes non-exclusive through 2032 (previously exclusive); OpenAI’s revenue share payments to Microsoft continue through 2030 subject to a total cap; Azure retains first-access status as OpenAI’s primary cloud partner. </w:t>
      </w:r>
      <w:r>
        <w:rPr>
          <w:rFonts w:ascii="Calibri" w:hAnsi="Calibri"/>
          <w:i/>
          <w:color w:val="525866"/>
          <w:sz w:val="22"/>
        </w:rPr>
        <w:t>Implication:</w:t>
      </w:r>
      <w:r>
        <w:rPr>
          <w:rFonts w:ascii="Calibri" w:hAnsi="Calibri"/>
          <w:color w:val="525866"/>
          <w:sz w:val="22"/>
        </w:rPr>
        <w:t xml:space="preserve"> Net positive for MSFT margins (no more revenue share cost), but OpenAI can now serve products across any cloud provider, raising competitive risk for Azure. Market reaction was negative — stock fell ~5% post-earnings partly on this news.</w:t>
      </w:r>
    </w:p>
    <w:p>
      <w:pPr>
        <w:pStyle w:val="ListBullet"/>
        <w:ind w:left="360" w:hanging="360"/>
      </w:pPr>
      <w:r>
        <w:rPr>
          <w:rFonts w:ascii="Calibri" w:hAnsi="Calibri"/>
          <w:b/>
          <w:color w:val="525866"/>
          <w:sz w:val="22"/>
        </w:rPr>
        <w:t>April 29, 2026 — Q3 FY2026 Earnings Beat:</w:t>
      </w:r>
      <w:r>
        <w:rPr>
          <w:rFonts w:ascii="Calibri" w:hAnsi="Calibri"/>
          <w:color w:val="525866"/>
          <w:sz w:val="22"/>
        </w:rPr>
        <w:t xml:space="preserve"> Revenue $82.9B (+18% YoY), Azure +40% CC (above 37–38% guide), EPS $4.27 (+23% YoY), AI run rate surpassed $37B (+123% YoY), M365 Copilot paid seats exceeded 20M (+250% YoY). </w:t>
      </w:r>
      <w:r>
        <w:rPr>
          <w:rFonts w:ascii="Calibri" w:hAnsi="Calibri"/>
          <w:i/>
          <w:color w:val="525866"/>
          <w:sz w:val="22"/>
        </w:rPr>
        <w:t>Implication:</w:t>
      </w:r>
      <w:r>
        <w:rPr>
          <w:rFonts w:ascii="Calibri" w:hAnsi="Calibri"/>
          <w:color w:val="525866"/>
          <w:sz w:val="22"/>
        </w:rPr>
        <w:t xml:space="preserve"> Strong beat across all metrics, but stock fell ~5% on CapEx escalation concerns and OpenAI restructuring.</w:t>
      </w:r>
    </w:p>
    <w:p>
      <w:pPr>
        <w:pStyle w:val="ListBullet"/>
        <w:ind w:left="360" w:hanging="360"/>
      </w:pPr>
      <w:r>
        <w:rPr>
          <w:rFonts w:ascii="Calibri" w:hAnsi="Calibri"/>
          <w:b/>
          <w:color w:val="525866"/>
          <w:sz w:val="22"/>
        </w:rPr>
        <w:t>April 29, 2026 — Voluntary Retirement Program Announced:</w:t>
      </w:r>
      <w:r>
        <w:rPr>
          <w:rFonts w:ascii="Calibri" w:hAnsi="Calibri"/>
          <w:color w:val="525866"/>
          <w:sz w:val="22"/>
        </w:rPr>
        <w:t xml:space="preserve"> One-time costs expected in Q4 FY2026; headcount expected to decline YoY in FY27. </w:t>
      </w:r>
      <w:r>
        <w:rPr>
          <w:rFonts w:ascii="Calibri" w:hAnsi="Calibri"/>
          <w:i/>
          <w:color w:val="525866"/>
          <w:sz w:val="22"/>
        </w:rPr>
        <w:t>Implication:</w:t>
      </w:r>
      <w:r>
        <w:rPr>
          <w:rFonts w:ascii="Calibri" w:hAnsi="Calibri"/>
          <w:color w:val="525866"/>
          <w:sz w:val="22"/>
        </w:rPr>
        <w:t xml:space="preserve"> Signals workforce optimization to fund AI investments; one-time charge will impact Q4 GAAP results but not operating EPS.</w:t>
      </w:r>
    </w:p>
    <w:p>
      <w:pPr>
        <w:pStyle w:val="ListBullet"/>
        <w:ind w:left="360" w:hanging="360"/>
      </w:pPr>
      <w:r>
        <w:rPr>
          <w:rFonts w:ascii="Calibri" w:hAnsi="Calibri"/>
          <w:b/>
          <w:color w:val="525866"/>
          <w:sz w:val="22"/>
        </w:rPr>
        <w:t>May 14, 2026 — Carmine Di Sibio Appointed to Board:</w:t>
      </w:r>
      <w:r>
        <w:rPr>
          <w:rFonts w:ascii="Calibri" w:hAnsi="Calibri"/>
          <w:color w:val="525866"/>
          <w:sz w:val="22"/>
        </w:rPr>
        <w:t xml:space="preserve"> Former EY Global Chairman joins MSFT board. </w:t>
      </w:r>
      <w:r>
        <w:rPr>
          <w:rFonts w:ascii="Calibri" w:hAnsi="Calibri"/>
          <w:i/>
          <w:color w:val="525866"/>
          <w:sz w:val="22"/>
        </w:rPr>
        <w:t>Implication:</w:t>
      </w:r>
      <w:r>
        <w:rPr>
          <w:rFonts w:ascii="Calibri" w:hAnsi="Calibri"/>
          <w:color w:val="525866"/>
          <w:sz w:val="22"/>
        </w:rPr>
        <w:t xml:space="preserve"> Governance enhancement; limited near-term financial impact.</w:t>
      </w:r>
    </w:p>
    <w:p>
      <w:pPr>
        <w:pStyle w:val="ListBullet"/>
        <w:ind w:left="360" w:hanging="360"/>
      </w:pPr>
      <w:r>
        <w:rPr>
          <w:rFonts w:ascii="Calibri" w:hAnsi="Calibri"/>
          <w:b/>
          <w:color w:val="525866"/>
          <w:sz w:val="22"/>
        </w:rPr>
        <w:t>July 21, 2026 — Microsoft-Mistral Strategic Partnership Expansion:</w:t>
      </w:r>
      <w:r>
        <w:rPr>
          <w:rFonts w:ascii="Calibri" w:hAnsi="Calibri"/>
          <w:color w:val="525866"/>
          <w:sz w:val="22"/>
        </w:rPr>
        <w:t xml:space="preserve"> Multibillion-dollar agreement to expand AI infrastructure in Europe; Mistral Medium 3.5 and OCR 4 now available in Microsoft Foundry and Copilot Studio; Mistral adding thousands of NVIDIA Vera Rubin GPUs to shared platform. </w:t>
      </w:r>
      <w:r>
        <w:rPr>
          <w:rFonts w:ascii="Calibri" w:hAnsi="Calibri"/>
          <w:i/>
          <w:color w:val="525866"/>
          <w:sz w:val="22"/>
        </w:rPr>
        <w:t>Implication:</w:t>
      </w:r>
      <w:r>
        <w:rPr>
          <w:rFonts w:ascii="Calibri" w:hAnsi="Calibri"/>
          <w:color w:val="525866"/>
          <w:sz w:val="22"/>
        </w:rPr>
        <w:t xml:space="preserve"> Reinforces Azure’s multi-model strategy and European AI capacity expansion; positive read-through for Azure demand.</w:t>
      </w:r>
    </w:p>
    <w:p>
      <w:pPr>
        <w:pStyle w:val="ListBullet"/>
        <w:ind w:left="360" w:hanging="360"/>
      </w:pPr>
      <w:r>
        <w:rPr>
          <w:rFonts w:ascii="Calibri" w:hAnsi="Calibri"/>
          <w:b/>
          <w:color w:val="525866"/>
          <w:sz w:val="22"/>
        </w:rPr>
        <w:t>July 23, 2026 — Databricks Expands Azure Partnership Through 2030s:</w:t>
      </w:r>
      <w:r>
        <w:rPr>
          <w:rFonts w:ascii="Calibri" w:hAnsi="Calibri"/>
          <w:color w:val="525866"/>
          <w:sz w:val="22"/>
        </w:rPr>
        <w:t xml:space="preserve"> Databricks deepens Azure commitment for core business operations; increases use of Azure Cobalt (custom ARM-based chips) for agentic AI workloads; Microsoft integrates Databricks Genie into Microsoft 365. </w:t>
      </w:r>
      <w:r>
        <w:rPr>
          <w:rFonts w:ascii="Calibri" w:hAnsi="Calibri"/>
          <w:i/>
          <w:color w:val="525866"/>
          <w:sz w:val="22"/>
        </w:rPr>
        <w:t>Implication:</w:t>
      </w:r>
      <w:r>
        <w:rPr>
          <w:rFonts w:ascii="Calibri" w:hAnsi="Calibri"/>
          <w:color w:val="525866"/>
          <w:sz w:val="22"/>
        </w:rPr>
        <w:t xml:space="preserve"> Significant win for Azure commercial business; validates Azure Cobalt custom silicon strategy; positive for Q4 commercial bookings.</w:t>
      </w:r>
    </w:p>
    <w:p>
      <w:pPr>
        <w:pStyle w:val="ListBullet"/>
        <w:ind w:left="360" w:hanging="360"/>
      </w:pPr>
      <w:r>
        <w:rPr>
          <w:rFonts w:ascii="Calibri" w:hAnsi="Calibri"/>
          <w:b/>
          <w:color w:val="525866"/>
          <w:sz w:val="22"/>
        </w:rPr>
        <w:t>Analyst Sentiment:</w:t>
      </w:r>
      <w:r>
        <w:rPr>
          <w:rFonts w:ascii="Calibri" w:hAnsi="Calibri"/>
          <w:color w:val="525866"/>
          <w:sz w:val="22"/>
        </w:rPr>
        <w:t xml:space="preserve"> 40 Buy / 7 Hold / 0 Sell ratings among 47 analysts; consensus price target $561 (vs. current ~$393, implying ~43% upside). Scotiabank upgraded to Outperform on July 6; BMO raised PT from $500 to $515 on July 7. Stifel maintains Hold at $415. The wide gap between consensus PT and current price reflects the market’s skepticism about CapEx ROI timeline.</w:t>
      </w:r>
    </w:p>
    <w:p>
      <w:r>
        <w:br w:type="page"/>
      </w:r>
    </w:p>
    <w:p>
      <w:pPr>
        <w:pStyle w:val="Heading2"/>
      </w:pPr>
      <w:r>
        <w:rPr>
          <w:rFonts w:ascii="Calibri" w:hAnsi="Calibri"/>
          <w:b/>
          <w:color w:val="3B4259"/>
          <w:sz w:val="28"/>
        </w:rPr>
        <w:t>7. Peer Commentaries — Read-Through for MSFT Q4 FY2026</w:t>
      </w:r>
    </w:p>
    <w:p>
      <w:r>
        <w:rPr>
          <w:rFonts w:ascii="Calibri" w:hAnsi="Calibri"/>
          <w:b/>
          <w:color w:val="525866"/>
          <w:sz w:val="22"/>
        </w:rPr>
        <w:t xml:space="preserve">Key Takeaway: </w:t>
      </w:r>
      <w:r>
        <w:rPr>
          <w:rFonts w:ascii="Calibri" w:hAnsi="Calibri"/>
          <w:color w:val="525866"/>
          <w:sz w:val="22"/>
        </w:rPr>
        <w:t xml:space="preserve">Peer commentary from companies reporting in the last 60 days is broadly positive for MSFT’s Q4 FY2026 print. </w:t>
      </w:r>
      <w:r>
        <w:rPr>
          <w:rFonts w:ascii="Calibri" w:hAnsi="Calibri"/>
          <w:b/>
          <w:color w:val="525866"/>
          <w:sz w:val="22"/>
        </w:rPr>
        <w:t>Google Cloud’s 82% YoY growth and Oracle’s 93% cloud infrastructure growth</w:t>
      </w:r>
      <w:r>
        <w:rPr>
          <w:rFonts w:ascii="Calibri" w:hAnsi="Calibri"/>
          <w:color w:val="525866"/>
          <w:sz w:val="22"/>
        </w:rPr>
        <w:t xml:space="preserve"> confirm that enterprise AI demand is accelerating, not decelerating — a strong read-through for Azure. ServiceNow’s AI ACV crossing $1B and Salesforce’s Agentforce ARR surpassing $1B validate that enterprise AI software spending is real and expanding, supporting M365 Copilot seat momentum. The only cautionary note is SAP’s commentary on geopolitical uncertainty weighing on some customer decision-making.</w:t>
      </w:r>
    </w:p>
    <w:p>
      <w:r>
        <w:rPr>
          <w:rFonts w:ascii="Calibri" w:hAnsi="Calibri"/>
          <w:i/>
          <w:color w:val="525866"/>
          <w:sz w:val="22"/>
        </w:rPr>
        <w:t>Note: Only commentary from peers’ current reporting quarter (calendar Q2 2026 / their most recent quarter) is included below. Prior quarter results commentary is excluded.</w:t>
      </w:r>
    </w:p>
    <w:p>
      <w:pPr>
        <w:pStyle w:val="Heading3"/>
      </w:pPr>
      <w:r>
        <w:rPr>
          <w:rFonts w:ascii="Calibri" w:hAnsi="Calibri"/>
          <w:b/>
          <w:color w:val="3B4259"/>
          <w:sz w:val="24"/>
        </w:rPr>
        <w:t>Google (GOOGL) — Q2 2026 Earnings (Reported July 22, 2026)</w:t>
      </w:r>
    </w:p>
    <w:p>
      <w:r>
        <w:rPr>
          <w:rFonts w:ascii="Calibri" w:hAnsi="Calibri"/>
          <w:b/>
          <w:color w:val="525866"/>
          <w:sz w:val="22"/>
        </w:rPr>
        <w:t xml:space="preserve">Read-Through Signal: </w:t>
      </w:r>
      <w:r>
        <w:rPr>
          <w:rFonts w:ascii="Calibri" w:hAnsi="Calibri"/>
          <w:b/>
          <w:color w:val="30A46C"/>
          <w:sz w:val="22"/>
        </w:rPr>
        <w:t>STRONGLY POSITIVE for Azure demand</w:t>
      </w:r>
    </w:p>
    <w:p>
      <w:pPr>
        <w:pStyle w:val="ListBullet"/>
        <w:ind w:left="360" w:hanging="360"/>
      </w:pPr>
      <w:r>
        <w:rPr>
          <w:rFonts w:ascii="Calibri" w:hAnsi="Calibri"/>
          <w:color w:val="525866"/>
          <w:sz w:val="22"/>
        </w:rPr>
        <w:t xml:space="preserve">Google Cloud revenue grew </w:t>
      </w:r>
      <w:r>
        <w:rPr>
          <w:rFonts w:ascii="Calibri" w:hAnsi="Calibri"/>
          <w:b/>
          <w:color w:val="525866"/>
          <w:sz w:val="22"/>
        </w:rPr>
        <w:t>82% YoY</w:t>
      </w:r>
      <w:r>
        <w:rPr>
          <w:rFonts w:ascii="Calibri" w:hAnsi="Calibri"/>
          <w:color w:val="525866"/>
          <w:sz w:val="22"/>
        </w:rPr>
        <w:t xml:space="preserve"> in Q2 2026, driven by strong demand for AI infrastructure and AI solutions. Cloud backlog increased to $514B, with the majority from GCP contracts. Cloud operating margin expanded from 20.7% to 35.6% YoY. Management stated they are in a “supply constrained environment” with “very strong demand.”</w:t>
      </w:r>
    </w:p>
    <w:p>
      <w:pPr>
        <w:pStyle w:val="ListBullet"/>
        <w:ind w:left="360" w:hanging="360"/>
      </w:pPr>
      <w:r>
        <w:rPr>
          <w:rFonts w:ascii="Calibri" w:hAnsi="Calibri"/>
          <w:b/>
          <w:color w:val="525866"/>
          <w:sz w:val="22"/>
        </w:rPr>
        <w:t>Read-Through for MSFT:</w:t>
      </w:r>
      <w:r>
        <w:rPr>
          <w:rFonts w:ascii="Calibri" w:hAnsi="Calibri"/>
          <w:color w:val="525866"/>
          <w:sz w:val="22"/>
        </w:rPr>
        <w:t xml:space="preserve"> Google’s 82% cloud growth (vs. Azure’s guided 39–40%) confirms that enterprise AI demand is accelerating broadly. The supply-constrained commentary validates MSFT’s own capacity narrative. Google’s cloud backlog of $514B growing strongly is directionally positive for MSFT’s commercial RPO trajectory.</w:t>
      </w:r>
    </w:p>
    <w:p>
      <w:pPr>
        <w:pStyle w:val="ListBullet"/>
        <w:ind w:left="360" w:hanging="360"/>
      </w:pPr>
      <w:r>
        <w:rPr>
          <w:rFonts w:ascii="Calibri" w:hAnsi="Calibri"/>
          <w:b/>
          <w:color w:val="525866"/>
          <w:sz w:val="22"/>
        </w:rPr>
        <w:t>GCP growing faster than overall cloud segment</w:t>
      </w:r>
      <w:r>
        <w:rPr>
          <w:rFonts w:ascii="Calibri" w:hAnsi="Calibri"/>
          <w:color w:val="525866"/>
          <w:sz w:val="22"/>
        </w:rPr>
        <w:t xml:space="preserve"> (core AI infrastructure outpacing total cloud) is a positive read-through for Azure AI services, which management has flagged as the fastest-growing component of Azure.</w:t>
      </w:r>
    </w:p>
    <w:p>
      <w:pPr>
        <w:pStyle w:val="ListBullet"/>
        <w:ind w:left="360" w:hanging="360"/>
      </w:pPr>
      <w:r>
        <w:rPr>
          <w:rFonts w:ascii="Calibri" w:hAnsi="Calibri"/>
          <w:b/>
          <w:color w:val="525866"/>
          <w:sz w:val="22"/>
        </w:rPr>
        <w:t>Google’s full-year 2026 CapEx guidance raised to $195–205B</w:t>
      </w:r>
      <w:r>
        <w:rPr>
          <w:rFonts w:ascii="Calibri" w:hAnsi="Calibri"/>
          <w:color w:val="525866"/>
          <w:sz w:val="22"/>
        </w:rPr>
        <w:t xml:space="preserve"> (from $180–190B), citing accelerating capacity delivery to meet demand. This validates MSFT’s own ~$190B CY2026 CapEx commitment and suggests the industry-wide AI infrastructure build is demand-driven, not speculative.</w:t>
      </w:r>
    </w:p>
    <w:p>
      <w:pPr>
        <w:pStyle w:val="ListBullet"/>
        <w:ind w:left="360" w:hanging="360"/>
      </w:pPr>
      <w:r>
        <w:rPr>
          <w:rFonts w:ascii="Calibri" w:hAnsi="Calibri"/>
          <w:b/>
          <w:color w:val="525866"/>
          <w:sz w:val="22"/>
        </w:rPr>
        <w:t>Q3 2026 outlook:</w:t>
      </w:r>
      <w:r>
        <w:rPr>
          <w:rFonts w:ascii="Calibri" w:hAnsi="Calibri"/>
          <w:color w:val="525866"/>
          <w:sz w:val="22"/>
        </w:rPr>
        <w:t xml:space="preserve"> Google Cloud expected to “drive strong growth”; modest FX headwind to consolidated revenue. Management expressed increased confidence: “if anything, over the past year, we’ve gotten more bullish on the opportunities ahead.”</w:t>
      </w:r>
    </w:p>
    <w:p>
      <w:pPr>
        <w:pStyle w:val="ListBullet"/>
        <w:ind w:left="360" w:hanging="360"/>
      </w:pPr>
      <w:r>
        <w:rPr>
          <w:rFonts w:ascii="Calibri" w:hAnsi="Calibri"/>
          <w:b/>
          <w:color w:val="525866"/>
          <w:sz w:val="22"/>
        </w:rPr>
        <w:t>Caution:</w:t>
      </w:r>
      <w:r>
        <w:rPr>
          <w:rFonts w:ascii="Calibri" w:hAnsi="Calibri"/>
          <w:color w:val="525866"/>
          <w:sz w:val="22"/>
        </w:rPr>
        <w:t xml:space="preserve"> Google Cloud’s 82% growth rate is significantly faster than Azure’s ~40%, which may reinforce investor concerns about MSFT losing cloud market share. Management did not directly reference Azure or Microsoft.</w:t>
      </w:r>
    </w:p>
    <w:p>
      <w:pPr>
        <w:pStyle w:val="Heading3"/>
      </w:pPr>
      <w:r>
        <w:rPr>
          <w:rFonts w:ascii="Calibri" w:hAnsi="Calibri"/>
          <w:b/>
          <w:color w:val="3B4259"/>
          <w:sz w:val="24"/>
        </w:rPr>
        <w:t>Oracle (ORCL) — Q4 FY2026 Earnings (Reported June 10, 2026)</w:t>
      </w:r>
    </w:p>
    <w:p>
      <w:r>
        <w:rPr>
          <w:rFonts w:ascii="Calibri" w:hAnsi="Calibri"/>
          <w:b/>
          <w:color w:val="525866"/>
          <w:sz w:val="22"/>
        </w:rPr>
        <w:t xml:space="preserve">Read-Through Signal: </w:t>
      </w:r>
      <w:r>
        <w:rPr>
          <w:rFonts w:ascii="Calibri" w:hAnsi="Calibri"/>
          <w:b/>
          <w:color w:val="30A46C"/>
          <w:sz w:val="22"/>
        </w:rPr>
        <w:t>STRONGLY POSITIVE for enterprise AI demand and cloud infrastructure</w:t>
      </w:r>
    </w:p>
    <w:p>
      <w:pPr>
        <w:pStyle w:val="ListBullet"/>
        <w:ind w:left="360" w:hanging="360"/>
      </w:pPr>
      <w:r>
        <w:rPr>
          <w:rFonts w:ascii="Calibri" w:hAnsi="Calibri"/>
          <w:color w:val="525866"/>
          <w:sz w:val="22"/>
        </w:rPr>
        <w:t xml:space="preserve">Oracle cloud infrastructure revenue grew </w:t>
      </w:r>
      <w:r>
        <w:rPr>
          <w:rFonts w:ascii="Calibri" w:hAnsi="Calibri"/>
          <w:b/>
          <w:color w:val="525866"/>
          <w:sz w:val="22"/>
        </w:rPr>
        <w:t>93% in Q4 FY2026</w:t>
      </w:r>
      <w:r>
        <w:rPr>
          <w:rFonts w:ascii="Calibri" w:hAnsi="Calibri"/>
          <w:color w:val="525866"/>
          <w:sz w:val="22"/>
        </w:rPr>
        <w:t>, driven by AI workloads. RPO reached $638B (+363% YoY), providing “exceptional visibility into future revenue growth.” Management signed $67B in AI infrastructure contracts in the quarter alone.</w:t>
      </w:r>
    </w:p>
    <w:p>
      <w:pPr>
        <w:pStyle w:val="ListBullet"/>
        <w:ind w:left="360" w:hanging="360"/>
      </w:pPr>
      <w:r>
        <w:rPr>
          <w:rFonts w:ascii="Calibri" w:hAnsi="Calibri"/>
          <w:b/>
          <w:color w:val="525866"/>
          <w:sz w:val="22"/>
        </w:rPr>
        <w:t>Read-Through for MSFT:</w:t>
      </w:r>
      <w:r>
        <w:rPr>
          <w:rFonts w:ascii="Calibri" w:hAnsi="Calibri"/>
          <w:color w:val="525866"/>
          <w:sz w:val="22"/>
        </w:rPr>
        <w:t xml:space="preserve"> Oracle’s $638B RPO (vs. MSFT’s $627B as of Q3) and 363% RPO growth confirms that enterprise AI demand is driving unprecedented multi-year contract commitments. This is a strong positive read-through for MSFT’s commercial RPO trajectory in Q4.</w:t>
      </w:r>
    </w:p>
    <w:p>
      <w:pPr>
        <w:pStyle w:val="ListBullet"/>
        <w:ind w:left="360" w:hanging="360"/>
      </w:pPr>
      <w:r>
        <w:rPr>
          <w:rFonts w:ascii="Calibri" w:hAnsi="Calibri"/>
          <w:b/>
          <w:color w:val="525866"/>
          <w:sz w:val="22"/>
        </w:rPr>
        <w:t>Management stated “there is still a massively higher demand than there is supply”</w:t>
      </w:r>
      <w:r>
        <w:rPr>
          <w:rFonts w:ascii="Calibri" w:hAnsi="Calibri"/>
          <w:color w:val="525866"/>
          <w:sz w:val="22"/>
        </w:rPr>
        <w:t xml:space="preserve"> — directly validating MSFT’s supply-constrained narrative and suggesting Azure demand is real and durable.</w:t>
      </w:r>
    </w:p>
    <w:p>
      <w:pPr>
        <w:pStyle w:val="ListBullet"/>
        <w:ind w:left="360" w:hanging="360"/>
      </w:pPr>
      <w:r>
        <w:rPr>
          <w:rFonts w:ascii="Calibri" w:hAnsi="Calibri"/>
          <w:b/>
          <w:color w:val="525866"/>
          <w:sz w:val="22"/>
        </w:rPr>
        <w:t>Customers have “moved past the experimental stage of AI”</w:t>
      </w:r>
      <w:r>
        <w:rPr>
          <w:rFonts w:ascii="Calibri" w:hAnsi="Calibri"/>
          <w:color w:val="525866"/>
          <w:sz w:val="22"/>
        </w:rPr>
        <w:t xml:space="preserve"> and are “ready to implement enterprise grade, complete genetic solutions.” This validates MSFT’s M365 Copilot and Azure AI monetization thesis.</w:t>
      </w:r>
    </w:p>
    <w:p>
      <w:pPr>
        <w:pStyle w:val="ListBullet"/>
        <w:ind w:left="360" w:hanging="360"/>
      </w:pPr>
      <w:r>
        <w:rPr>
          <w:rFonts w:ascii="Calibri" w:hAnsi="Calibri"/>
          <w:b/>
          <w:color w:val="525866"/>
          <w:sz w:val="22"/>
        </w:rPr>
        <w:t>Oracle expects revenues and earnings to “accelerate in the second half of the year”</w:t>
      </w:r>
      <w:r>
        <w:rPr>
          <w:rFonts w:ascii="Calibri" w:hAnsi="Calibri"/>
          <w:color w:val="525866"/>
          <w:sz w:val="22"/>
        </w:rPr>
        <w:t xml:space="preserve"> as more data center capacity comes online — consistent with MSFT’s own “modest acceleration” signal for H2 CY2026.</w:t>
      </w:r>
    </w:p>
    <w:p>
      <w:pPr>
        <w:pStyle w:val="ListBullet"/>
        <w:ind w:left="360" w:hanging="360"/>
      </w:pPr>
      <w:r>
        <w:rPr>
          <w:rFonts w:ascii="Calibri" w:hAnsi="Calibri"/>
          <w:b/>
          <w:color w:val="525866"/>
          <w:sz w:val="22"/>
        </w:rPr>
        <w:t>Oracle’s FY2027 CapEx guided at ~$70B net</w:t>
      </w:r>
      <w:r>
        <w:rPr>
          <w:rFonts w:ascii="Calibri" w:hAnsi="Calibri"/>
          <w:color w:val="525866"/>
          <w:sz w:val="22"/>
        </w:rPr>
        <w:t xml:space="preserve"> (with $20–25B from customer prepayments), implying continued aggressive AI infrastructure investment. Validates MSFT’s own FY27 CapEx trajectory.</w:t>
      </w:r>
    </w:p>
    <w:p>
      <w:pPr>
        <w:pStyle w:val="Heading3"/>
      </w:pPr>
      <w:r>
        <w:rPr>
          <w:rFonts w:ascii="Calibri" w:hAnsi="Calibri"/>
          <w:b/>
          <w:color w:val="3B4259"/>
          <w:sz w:val="24"/>
        </w:rPr>
        <w:t>ServiceNow (NOW) — Q2 2026 Earnings (Reported July 22, 2026)</w:t>
      </w:r>
    </w:p>
    <w:p>
      <w:r>
        <w:rPr>
          <w:rFonts w:ascii="Calibri" w:hAnsi="Calibri"/>
          <w:b/>
          <w:color w:val="525866"/>
          <w:sz w:val="22"/>
        </w:rPr>
        <w:t xml:space="preserve">Read-Through Signal: </w:t>
      </w:r>
      <w:r>
        <w:rPr>
          <w:rFonts w:ascii="Calibri" w:hAnsi="Calibri"/>
          <w:b/>
          <w:color w:val="30A46C"/>
          <w:sz w:val="22"/>
        </w:rPr>
        <w:t>POSITIVE for enterprise AI software spending and M365 Copilot adoption</w:t>
      </w:r>
    </w:p>
    <w:p>
      <w:pPr>
        <w:pStyle w:val="ListBullet"/>
        <w:ind w:left="360" w:hanging="360"/>
      </w:pPr>
      <w:r>
        <w:rPr>
          <w:rFonts w:ascii="Calibri" w:hAnsi="Calibri"/>
          <w:b/>
          <w:color w:val="525866"/>
          <w:sz w:val="22"/>
        </w:rPr>
        <w:t>ServiceNow AI ACV exceeded $1B</w:t>
      </w:r>
      <w:r>
        <w:rPr>
          <w:rFonts w:ascii="Calibri" w:hAnsi="Calibri"/>
          <w:color w:val="525866"/>
          <w:sz w:val="22"/>
        </w:rPr>
        <w:t xml:space="preserve"> in Q2 2026, with net new ACV growth accelerating sequentially (+40% QoQ). Customers with Agentic AI in production grew 9x over the last 9 months. Deals including 5+ ServiceNow AI products grew 5.5x YoY.</w:t>
      </w:r>
    </w:p>
    <w:p>
      <w:pPr>
        <w:pStyle w:val="ListBullet"/>
        <w:ind w:left="360" w:hanging="360"/>
      </w:pPr>
      <w:r>
        <w:rPr>
          <w:rFonts w:ascii="Calibri" w:hAnsi="Calibri"/>
          <w:b/>
          <w:color w:val="525866"/>
          <w:sz w:val="22"/>
        </w:rPr>
        <w:t>Read-Through for MSFT:</w:t>
      </w:r>
      <w:r>
        <w:rPr>
          <w:rFonts w:ascii="Calibri" w:hAnsi="Calibri"/>
          <w:color w:val="525866"/>
          <w:sz w:val="22"/>
        </w:rPr>
        <w:t xml:space="preserve"> ServiceNow’s AI ACV crossing $1B validates that enterprises are paying for AI software at scale — a strong positive read-through for M365 Copilot’s 20M+ paid seat trajectory and MSFT’s broader AI monetization thesis.</w:t>
      </w:r>
    </w:p>
    <w:p>
      <w:pPr>
        <w:pStyle w:val="ListBullet"/>
        <w:ind w:left="360" w:hanging="360"/>
      </w:pPr>
      <w:r>
        <w:rPr>
          <w:rFonts w:ascii="Calibri" w:hAnsi="Calibri"/>
          <w:b/>
          <w:color w:val="525866"/>
          <w:sz w:val="22"/>
        </w:rPr>
        <w:t>ServiceNow deepened integration with Microsoft Agent 365</w:t>
      </w:r>
      <w:r>
        <w:rPr>
          <w:rFonts w:ascii="Calibri" w:hAnsi="Calibri"/>
          <w:color w:val="525866"/>
          <w:sz w:val="22"/>
        </w:rPr>
        <w:t xml:space="preserve"> — “Deeper integration of ServiceNow AI Control Tower and Microsoft Agent 365 extended agentic AI governance from desktops to data centers.” This validates MSFT’s Agent 365 positioning as a cross-cloud governance layer.</w:t>
      </w:r>
    </w:p>
    <w:p>
      <w:pPr>
        <w:pStyle w:val="ListBullet"/>
        <w:ind w:left="360" w:hanging="360"/>
      </w:pPr>
      <w:r>
        <w:rPr>
          <w:rFonts w:ascii="Calibri" w:hAnsi="Calibri"/>
          <w:b/>
          <w:color w:val="525866"/>
          <w:sz w:val="22"/>
        </w:rPr>
        <w:t>Hyperscaler partnerships ramping “quicker than planned”</w:t>
      </w:r>
      <w:r>
        <w:rPr>
          <w:rFonts w:ascii="Calibri" w:hAnsi="Calibri"/>
          <w:color w:val="525866"/>
          <w:sz w:val="22"/>
        </w:rPr>
        <w:t xml:space="preserve"> — ServiceNow noted that more customers are utilizing hyperscaler partnerships (including Azure), which is a positive read-through for Azure commercial bookings.</w:t>
      </w:r>
    </w:p>
    <w:p>
      <w:pPr>
        <w:pStyle w:val="ListBullet"/>
        <w:ind w:left="360" w:hanging="360"/>
      </w:pPr>
      <w:r>
        <w:rPr>
          <w:rFonts w:ascii="Calibri" w:hAnsi="Calibri"/>
          <w:b/>
          <w:color w:val="525866"/>
          <w:sz w:val="22"/>
        </w:rPr>
        <w:t>Q3 2026 guidance:</w:t>
      </w:r>
      <w:r>
        <w:rPr>
          <w:rFonts w:ascii="Calibri" w:hAnsi="Calibri"/>
          <w:color w:val="525866"/>
          <w:sz w:val="22"/>
        </w:rPr>
        <w:t xml:space="preserve"> Subscription revenues $3.975–$3.980B (+20% CC YoY); full-year raised by $15M at midpoint. CEO Bill McDermott: “I have not seen any change [in deal cycles]. If I’ve seen any change, it’s on the positive.” No signs of enterprise spending slowdown.</w:t>
      </w:r>
    </w:p>
    <w:p>
      <w:pPr>
        <w:pStyle w:val="ListBullet"/>
        <w:ind w:left="360" w:hanging="360"/>
      </w:pPr>
      <w:r>
        <w:rPr>
          <w:rFonts w:ascii="Calibri" w:hAnsi="Calibri"/>
          <w:b/>
          <w:color w:val="525866"/>
          <w:sz w:val="22"/>
        </w:rPr>
        <w:t>Caution:</w:t>
      </w:r>
      <w:r>
        <w:rPr>
          <w:rFonts w:ascii="Calibri" w:hAnsi="Calibri"/>
          <w:color w:val="525866"/>
          <w:sz w:val="22"/>
        </w:rPr>
        <w:t xml:space="preserve"> ServiceNow’s gross margin pressure from hyperscaler usage (subscription gross margin guided at 81%, down from prior levels) suggests that cloud infrastructure costs are rising for enterprise software companies — a mild negative for MSFT’s cloud gross margin trajectory.</w:t>
      </w:r>
    </w:p>
    <w:p>
      <w:pPr>
        <w:pStyle w:val="Heading3"/>
      </w:pPr>
      <w:r>
        <w:rPr>
          <w:rFonts w:ascii="Calibri" w:hAnsi="Calibri"/>
          <w:b/>
          <w:color w:val="3B4259"/>
          <w:sz w:val="24"/>
        </w:rPr>
        <w:t>Salesforce (CRM) — Q1 FY2027 Earnings (Reported May 27, 2026)</w:t>
      </w:r>
    </w:p>
    <w:p>
      <w:r>
        <w:rPr>
          <w:rFonts w:ascii="Calibri" w:hAnsi="Calibri"/>
          <w:b/>
          <w:color w:val="525866"/>
          <w:sz w:val="22"/>
        </w:rPr>
        <w:t xml:space="preserve">Read-Through Signal: </w:t>
      </w:r>
      <w:r>
        <w:rPr>
          <w:rFonts w:ascii="Calibri" w:hAnsi="Calibri"/>
          <w:b/>
          <w:color w:val="30A46C"/>
          <w:sz w:val="22"/>
        </w:rPr>
        <w:t>POSITIVE for enterprise AI adoption; MIXED on competitive dynamics</w:t>
      </w:r>
    </w:p>
    <w:p>
      <w:pPr>
        <w:pStyle w:val="ListBullet"/>
        <w:ind w:left="360" w:hanging="360"/>
      </w:pPr>
      <w:r>
        <w:rPr>
          <w:rFonts w:ascii="Calibri" w:hAnsi="Calibri"/>
          <w:b/>
          <w:color w:val="525866"/>
          <w:sz w:val="22"/>
        </w:rPr>
        <w:t>Agentforce ARR surpassed $1B</w:t>
      </w:r>
      <w:r>
        <w:rPr>
          <w:rFonts w:ascii="Calibri" w:hAnsi="Calibri"/>
          <w:color w:val="525866"/>
          <w:sz w:val="22"/>
        </w:rPr>
        <w:t xml:space="preserve"> in Q1 FY2027; processed 28.6 trillion tokens (+152% QoQ); 3.8B Agentic Work Units (+111% QoQ). Bookings for premium AI SKUs grew ~60% YoY. Top 10 customers by AI usage increased total Salesforce spend 1.5x in the last year.</w:t>
      </w:r>
    </w:p>
    <w:p>
      <w:pPr>
        <w:pStyle w:val="ListBullet"/>
        <w:ind w:left="360" w:hanging="360"/>
      </w:pPr>
      <w:r>
        <w:rPr>
          <w:rFonts w:ascii="Calibri" w:hAnsi="Calibri"/>
          <w:b/>
          <w:color w:val="525866"/>
          <w:sz w:val="22"/>
        </w:rPr>
        <w:t>Read-Through for MSFT:</w:t>
      </w:r>
      <w:r>
        <w:rPr>
          <w:rFonts w:ascii="Calibri" w:hAnsi="Calibri"/>
          <w:color w:val="525866"/>
          <w:sz w:val="22"/>
        </w:rPr>
        <w:t xml:space="preserve"> Salesforce’s Agentforce ARR crossing $1B and token volumes surging 152% QoQ validates that enterprise agentic AI adoption is accelerating rapidly — a strong positive read-through for M365 Copilot’s usage-based pricing transition and GitHub Copilot’s consumption model.</w:t>
      </w:r>
    </w:p>
    <w:p>
      <w:pPr>
        <w:pStyle w:val="ListBullet"/>
        <w:ind w:left="360" w:hanging="360"/>
      </w:pPr>
      <w:r>
        <w:rPr>
          <w:rFonts w:ascii="Calibri" w:hAnsi="Calibri"/>
          <w:b/>
          <w:color w:val="525866"/>
          <w:sz w:val="22"/>
        </w:rPr>
        <w:t>Salesforce noted agents “can appear in Slack and Microsoft Teams”</w:t>
      </w:r>
      <w:r>
        <w:rPr>
          <w:rFonts w:ascii="Calibri" w:hAnsi="Calibri"/>
          <w:color w:val="525866"/>
          <w:sz w:val="22"/>
        </w:rPr>
        <w:t xml:space="preserve"> — indicating interoperability with MSFT’s platform rather than pure competition. The seat-plus-consumption model Salesforce is deploying mirrors MSFT’s own pricing evolution.</w:t>
      </w:r>
    </w:p>
    <w:p>
      <w:pPr>
        <w:pStyle w:val="ListBullet"/>
        <w:ind w:left="360" w:hanging="360"/>
      </w:pPr>
      <w:r>
        <w:rPr>
          <w:rFonts w:ascii="Calibri" w:hAnsi="Calibri"/>
          <w:b/>
          <w:color w:val="525866"/>
          <w:sz w:val="22"/>
        </w:rPr>
        <w:t>Record 98 Q1 deals with &gt;$1M in new ACV</w:t>
      </w:r>
      <w:r>
        <w:rPr>
          <w:rFonts w:ascii="Calibri" w:hAnsi="Calibri"/>
          <w:color w:val="525866"/>
          <w:sz w:val="22"/>
        </w:rPr>
        <w:t>; top 10 deals saw annual incremental bookings grow 60% YoY. No signs of enterprise spending slowdown in core CRM/AI workflows.</w:t>
      </w:r>
    </w:p>
    <w:p>
      <w:pPr>
        <w:pStyle w:val="ListBullet"/>
        <w:ind w:left="360" w:hanging="360"/>
      </w:pPr>
      <w:r>
        <w:rPr>
          <w:rFonts w:ascii="Calibri" w:hAnsi="Calibri"/>
          <w:b/>
          <w:color w:val="525866"/>
          <w:sz w:val="22"/>
        </w:rPr>
        <w:t>Caution:</w:t>
      </w:r>
      <w:r>
        <w:rPr>
          <w:rFonts w:ascii="Calibri" w:hAnsi="Calibri"/>
          <w:color w:val="525866"/>
          <w:sz w:val="22"/>
        </w:rPr>
        <w:t xml:space="preserve"> Salesforce acknowledged “ongoing weakness in Marketing and Commerce and increased softness in Tableau bookings and renewals” — a mild negative for MSFT’s Dynamics 365 and Power BI segments. Also noted that “the management team was really not clear how they were competing against Microsoft” on Slack historically, suggesting competitive pressure in collaboration.</w:t>
      </w:r>
    </w:p>
    <w:p>
      <w:pPr>
        <w:pStyle w:val="ListBullet"/>
        <w:ind w:left="360" w:hanging="360"/>
      </w:pPr>
      <w:r>
        <w:rPr>
          <w:rFonts w:ascii="Calibri" w:hAnsi="Calibri"/>
          <w:b/>
          <w:color w:val="525866"/>
          <w:sz w:val="22"/>
        </w:rPr>
        <w:t>FY27 revenue guidance raised to $45.9–$46.2B</w:t>
      </w:r>
      <w:r>
        <w:rPr>
          <w:rFonts w:ascii="Calibri" w:hAnsi="Calibri"/>
          <w:color w:val="525866"/>
          <w:sz w:val="22"/>
        </w:rPr>
        <w:t>; expects organic revenue reacceleration in H2 FY27. Confidence in AI-driven growth trajectory is high.</w:t>
      </w:r>
    </w:p>
    <w:p>
      <w:pPr>
        <w:pStyle w:val="Heading3"/>
      </w:pPr>
      <w:r>
        <w:rPr>
          <w:rFonts w:ascii="Calibri" w:hAnsi="Calibri"/>
          <w:b/>
          <w:color w:val="3B4259"/>
          <w:sz w:val="24"/>
        </w:rPr>
        <w:t>Snowflake (SNOW) — Q1 FY2027 Earnings (Reported May 27, 2026)</w:t>
      </w:r>
    </w:p>
    <w:p>
      <w:r>
        <w:rPr>
          <w:rFonts w:ascii="Calibri" w:hAnsi="Calibri"/>
          <w:b/>
          <w:color w:val="525866"/>
          <w:sz w:val="22"/>
        </w:rPr>
        <w:t xml:space="preserve">Read-Through Signal: </w:t>
      </w:r>
      <w:r>
        <w:rPr>
          <w:rFonts w:ascii="Calibri" w:hAnsi="Calibri"/>
          <w:b/>
          <w:color w:val="30A46C"/>
          <w:sz w:val="22"/>
        </w:rPr>
        <w:t>POSITIVE for Azure cloud demand and AI data workloads</w:t>
      </w:r>
    </w:p>
    <w:p>
      <w:pPr>
        <w:pStyle w:val="ListBullet"/>
        <w:ind w:left="360" w:hanging="360"/>
      </w:pPr>
      <w:r>
        <w:rPr>
          <w:rFonts w:ascii="Calibri" w:hAnsi="Calibri"/>
          <w:b/>
          <w:color w:val="525866"/>
          <w:sz w:val="22"/>
        </w:rPr>
        <w:t>Product revenue grew 34% YoY to $1.334B</w:t>
      </w:r>
      <w:r>
        <w:rPr>
          <w:rFonts w:ascii="Calibri" w:hAnsi="Calibri"/>
          <w:color w:val="525866"/>
          <w:sz w:val="22"/>
        </w:rPr>
        <w:t xml:space="preserve"> (accelerating from 30% last quarter and 26% a year ago), marking the strongest sequential dollar growth in company history. Net revenue retention rate increased to 126%. Full-year FY2027 outlook raised from 27% to 31% growth.</w:t>
      </w:r>
    </w:p>
    <w:p>
      <w:pPr>
        <w:pStyle w:val="ListBullet"/>
        <w:ind w:left="360" w:hanging="360"/>
      </w:pPr>
      <w:r>
        <w:rPr>
          <w:rFonts w:ascii="Calibri" w:hAnsi="Calibri"/>
          <w:b/>
          <w:color w:val="525866"/>
          <w:sz w:val="22"/>
        </w:rPr>
        <w:t>Read-Through for MSFT:</w:t>
      </w:r>
      <w:r>
        <w:rPr>
          <w:rFonts w:ascii="Calibri" w:hAnsi="Calibri"/>
          <w:color w:val="525866"/>
          <w:sz w:val="22"/>
        </w:rPr>
        <w:t xml:space="preserve"> Snowflake’s acceleration to 34% growth and raised full-year guidance confirms that enterprise data and AI workloads are accelerating on cloud platforms. Snowflake’s CEO noted “AI is accelerating consumption in our core platform as customers migrate workloads to Snowflake faster” — a positive read-through for Azure’s AI services growth.</w:t>
      </w:r>
    </w:p>
    <w:p>
      <w:pPr>
        <w:pStyle w:val="ListBullet"/>
        <w:ind w:left="360" w:hanging="360"/>
      </w:pPr>
      <w:r>
        <w:rPr>
          <w:rFonts w:ascii="Calibri" w:hAnsi="Calibri"/>
          <w:b/>
          <w:color w:val="525866"/>
          <w:sz w:val="22"/>
        </w:rPr>
        <w:t>Snowflake announced a $6B multiyear agreement with AWS</w:t>
      </w:r>
      <w:r>
        <w:rPr>
          <w:rFonts w:ascii="Calibri" w:hAnsi="Calibri"/>
          <w:color w:val="525866"/>
          <w:sz w:val="22"/>
        </w:rPr>
        <w:t xml:space="preserve"> and noted its platform “works fine on AWS, but we can also work on Azure” — confirming multi-cloud demand dynamics that benefit Azure.</w:t>
      </w:r>
    </w:p>
    <w:p>
      <w:pPr>
        <w:pStyle w:val="ListBullet"/>
        <w:ind w:left="360" w:hanging="360"/>
      </w:pPr>
      <w:r>
        <w:rPr>
          <w:rFonts w:ascii="Calibri" w:hAnsi="Calibri"/>
          <w:b/>
          <w:color w:val="525866"/>
          <w:sz w:val="22"/>
        </w:rPr>
        <w:t>CoCo (Cortex Code) was the “largest driver to the increase in our forecast”</w:t>
      </w:r>
      <w:r>
        <w:rPr>
          <w:rFonts w:ascii="Calibri" w:hAnsi="Calibri"/>
          <w:color w:val="525866"/>
          <w:sz w:val="22"/>
        </w:rPr>
        <w:t xml:space="preserve"> — an AI coding agent that is seeing the fastest adoption of any new product in Snowflake’s history. This validates MSFT’s GitHub Copilot thesis: AI coding tools are driving real consumption uplift.</w:t>
      </w:r>
    </w:p>
    <w:p>
      <w:pPr>
        <w:pStyle w:val="ListBullet"/>
        <w:ind w:left="360" w:hanging="360"/>
      </w:pPr>
      <w:r>
        <w:rPr>
          <w:rFonts w:ascii="Calibri" w:hAnsi="Calibri"/>
          <w:b/>
          <w:color w:val="525866"/>
          <w:sz w:val="22"/>
        </w:rPr>
        <w:t>Snowflake’s AI products have “lower gross margin than core platform”</w:t>
      </w:r>
      <w:r>
        <w:rPr>
          <w:rFonts w:ascii="Calibri" w:hAnsi="Calibri"/>
          <w:color w:val="525866"/>
          <w:sz w:val="22"/>
        </w:rPr>
        <w:t xml:space="preserve"> but are being offset by lower bandwidth costs. This is a mild negative read-through for MSFT’s cloud gross margin as AI workloads scale.</w:t>
      </w:r>
    </w:p>
    <w:p>
      <w:pPr>
        <w:pStyle w:val="ListBullet"/>
        <w:ind w:left="360" w:hanging="360"/>
      </w:pPr>
      <w:r>
        <w:rPr>
          <w:rFonts w:ascii="Calibri" w:hAnsi="Calibri"/>
          <w:b/>
          <w:color w:val="525866"/>
          <w:sz w:val="22"/>
        </w:rPr>
        <w:t>Expanding $200M partnership with OpenAI</w:t>
      </w:r>
      <w:r>
        <w:rPr>
          <w:rFonts w:ascii="Calibri" w:hAnsi="Calibri"/>
          <w:color w:val="525866"/>
          <w:sz w:val="22"/>
        </w:rPr>
        <w:t xml:space="preserve"> announced during the quarter — confirms OpenAI is distributing workloads across multiple cloud providers, consistent with the post-restructuring dynamic for MSFT.</w:t>
      </w:r>
    </w:p>
    <w:p>
      <w:pPr>
        <w:pStyle w:val="Heading3"/>
      </w:pPr>
      <w:r>
        <w:rPr>
          <w:rFonts w:ascii="Calibri" w:hAnsi="Calibri"/>
          <w:b/>
          <w:color w:val="3B4259"/>
          <w:sz w:val="24"/>
        </w:rPr>
        <w:t>Adobe (ADBE) — Q2 FY2026 Earnings (Reported June 11, 2026)</w:t>
      </w:r>
    </w:p>
    <w:p>
      <w:r>
        <w:rPr>
          <w:rFonts w:ascii="Calibri" w:hAnsi="Calibri"/>
          <w:b/>
          <w:color w:val="525866"/>
          <w:sz w:val="22"/>
        </w:rPr>
        <w:t xml:space="preserve">Read-Through Signal: </w:t>
      </w:r>
      <w:r>
        <w:rPr>
          <w:rFonts w:ascii="Calibri" w:hAnsi="Calibri"/>
          <w:b/>
          <w:color w:val="525866"/>
          <w:sz w:val="22"/>
        </w:rPr>
        <w:t>POSITIVE for enterprise AI software spending; NEUTRAL for Azure specifically</w:t>
      </w:r>
    </w:p>
    <w:p>
      <w:pPr>
        <w:pStyle w:val="ListBullet"/>
        <w:ind w:left="360" w:hanging="360"/>
      </w:pPr>
      <w:r>
        <w:rPr>
          <w:rFonts w:ascii="Calibri" w:hAnsi="Calibri"/>
          <w:b/>
          <w:color w:val="525866"/>
          <w:sz w:val="22"/>
        </w:rPr>
        <w:t>Adobe’s AI-first IRR grew 3x YoY to &gt;$500M</w:t>
      </w:r>
      <w:r>
        <w:rPr>
          <w:rFonts w:ascii="Calibri" w:hAnsi="Calibri"/>
          <w:color w:val="525866"/>
          <w:sz w:val="22"/>
        </w:rPr>
        <w:t>; Firefly ending ARR approaching $300M; enterprise customers with &gt;$10M in IRR growing &gt;20% YoY. Creative freemium MAU grew from 50M to 90M YoY.</w:t>
      </w:r>
    </w:p>
    <w:p>
      <w:pPr>
        <w:pStyle w:val="ListBullet"/>
        <w:ind w:left="360" w:hanging="360"/>
      </w:pPr>
      <w:r>
        <w:rPr>
          <w:rFonts w:ascii="Calibri" w:hAnsi="Calibri"/>
          <w:b/>
          <w:color w:val="525866"/>
          <w:sz w:val="22"/>
        </w:rPr>
        <w:t>Read-Through for MSFT:</w:t>
      </w:r>
      <w:r>
        <w:rPr>
          <w:rFonts w:ascii="Calibri" w:hAnsi="Calibri"/>
          <w:color w:val="525866"/>
          <w:sz w:val="22"/>
        </w:rPr>
        <w:t xml:space="preserve"> Adobe’s strong AI monetization validates that enterprises are paying for AI-powered creative and productivity tools at scale — a positive read-through for M365 Copilot’s seat and usage growth.</w:t>
      </w:r>
    </w:p>
    <w:p>
      <w:pPr>
        <w:pStyle w:val="ListBullet"/>
        <w:ind w:left="360" w:hanging="360"/>
      </w:pPr>
      <w:r>
        <w:rPr>
          <w:rFonts w:ascii="Calibri" w:hAnsi="Calibri"/>
          <w:b/>
          <w:color w:val="525866"/>
          <w:sz w:val="22"/>
        </w:rPr>
        <w:t>Adobe announced native integrations with Microsoft Copilot</w:t>
      </w:r>
      <w:r>
        <w:rPr>
          <w:rFonts w:ascii="Calibri" w:hAnsi="Calibri"/>
          <w:color w:val="525866"/>
          <w:sz w:val="22"/>
        </w:rPr>
        <w:t xml:space="preserve"> (alongside Anthropic, OpenAI, and Google Gemini) — “The Adobe Creative Agent is also available in Claude, ChatGPT, and soon Copilot and Gemini.” This validates MSFT’s Copilot as a platform for third-party AI integrations.</w:t>
      </w:r>
    </w:p>
    <w:p>
      <w:pPr>
        <w:pStyle w:val="ListBullet"/>
        <w:ind w:left="360" w:hanging="360"/>
      </w:pPr>
      <w:r>
        <w:rPr>
          <w:rFonts w:ascii="Calibri" w:hAnsi="Calibri"/>
          <w:b/>
          <w:color w:val="525866"/>
          <w:sz w:val="22"/>
        </w:rPr>
        <w:t>Adobe described itself as a “huge user of Microsoft cloud services”</w:t>
      </w:r>
      <w:r>
        <w:rPr>
          <w:rFonts w:ascii="Calibri" w:hAnsi="Calibri"/>
          <w:color w:val="525866"/>
          <w:sz w:val="22"/>
        </w:rPr>
        <w:t xml:space="preserve"> — a direct positive read-through for Azure commercial revenue.</w:t>
      </w:r>
    </w:p>
    <w:p>
      <w:pPr>
        <w:pStyle w:val="ListBullet"/>
        <w:ind w:left="360" w:hanging="360"/>
      </w:pPr>
      <w:r>
        <w:rPr>
          <w:rFonts w:ascii="Calibri" w:hAnsi="Calibri"/>
          <w:b/>
          <w:color w:val="525866"/>
          <w:sz w:val="22"/>
        </w:rPr>
        <w:t>Business models evolving to “consumption and outcome-based pricing, along with subscriptions”</w:t>
      </w:r>
      <w:r>
        <w:rPr>
          <w:rFonts w:ascii="Calibri" w:hAnsi="Calibri"/>
          <w:color w:val="525866"/>
          <w:sz w:val="22"/>
        </w:rPr>
        <w:t xml:space="preserve"> — mirrors MSFT’s own seat-to-consumption model transition for GitHub Copilot and M365 Copilot.</w:t>
      </w:r>
    </w:p>
    <w:p>
      <w:pPr>
        <w:pStyle w:val="ListBullet"/>
        <w:ind w:left="360" w:hanging="360"/>
      </w:pPr>
      <w:r>
        <w:rPr>
          <w:rFonts w:ascii="Calibri" w:hAnsi="Calibri"/>
          <w:b/>
          <w:color w:val="525866"/>
          <w:sz w:val="22"/>
        </w:rPr>
        <w:t>Caution:</w:t>
      </w:r>
      <w:r>
        <w:rPr>
          <w:rFonts w:ascii="Calibri" w:hAnsi="Calibri"/>
          <w:color w:val="525866"/>
          <w:sz w:val="22"/>
        </w:rPr>
        <w:t xml:space="preserve"> Adobe deferred planned Creative Cloud price optimizations in H2, citing a strategic shift to freemium growth. This suggests some near-term revenue headwinds in the creative software segment that could be a mild negative read-through for MSFT’s consumer-facing products.</w:t>
      </w:r>
    </w:p>
    <w:p>
      <w:pPr>
        <w:pStyle w:val="Heading3"/>
      </w:pPr>
      <w:r>
        <w:rPr>
          <w:rFonts w:ascii="Calibri" w:hAnsi="Calibri"/>
          <w:b/>
          <w:color w:val="3B4259"/>
          <w:sz w:val="24"/>
        </w:rPr>
        <w:t>SAP (SAP) — Q2 2026 Earnings (Reported July 23, 2026)</w:t>
      </w:r>
    </w:p>
    <w:p>
      <w:r>
        <w:rPr>
          <w:rFonts w:ascii="Calibri" w:hAnsi="Calibri"/>
          <w:b/>
          <w:color w:val="525866"/>
          <w:sz w:val="22"/>
        </w:rPr>
        <w:t xml:space="preserve">Read-Through Signal: </w:t>
      </w:r>
      <w:r>
        <w:rPr>
          <w:rFonts w:ascii="Calibri" w:hAnsi="Calibri"/>
          <w:b/>
          <w:color w:val="525866"/>
          <w:sz w:val="22"/>
        </w:rPr>
        <w:t>POSITIVE for enterprise AI adoption; CAUTIONARY on macro/geopolitical headwinds</w:t>
      </w:r>
    </w:p>
    <w:p>
      <w:pPr>
        <w:pStyle w:val="ListBullet"/>
        <w:ind w:left="360" w:hanging="360"/>
      </w:pPr>
      <w:r>
        <w:rPr>
          <w:rFonts w:ascii="Calibri" w:hAnsi="Calibri"/>
          <w:b/>
          <w:color w:val="525866"/>
          <w:sz w:val="22"/>
        </w:rPr>
        <w:t>SAP cloud revenue grew 24% to €6.3B</w:t>
      </w:r>
      <w:r>
        <w:rPr>
          <w:rFonts w:ascii="Calibri" w:hAnsi="Calibri"/>
          <w:color w:val="525866"/>
          <w:sz w:val="22"/>
        </w:rPr>
        <w:t>; current cloud backlog grew 26% (accelerating from Q1) to nearly €23B. AI and SAP Business Data Cloud were embedded in &gt;90% of SAP’s 50 largest deals. SaaS/PaaS grew 27% in Q2.</w:t>
      </w:r>
    </w:p>
    <w:p>
      <w:pPr>
        <w:pStyle w:val="ListBullet"/>
        <w:ind w:left="360" w:hanging="360"/>
      </w:pPr>
      <w:r>
        <w:rPr>
          <w:rFonts w:ascii="Calibri" w:hAnsi="Calibri"/>
          <w:b/>
          <w:color w:val="525866"/>
          <w:sz w:val="22"/>
        </w:rPr>
        <w:t>Read-Through for MSFT:</w:t>
      </w:r>
      <w:r>
        <w:rPr>
          <w:rFonts w:ascii="Calibri" w:hAnsi="Calibri"/>
          <w:color w:val="525866"/>
          <w:sz w:val="22"/>
        </w:rPr>
        <w:t xml:space="preserve"> SAP’s cloud backlog acceleration and AI embedding in large deals validates that enterprise AI is becoming mission-critical in ERP and business software — a positive read-through for MSFT’s Dynamics 365 and Azure AI services.</w:t>
      </w:r>
    </w:p>
    <w:p>
      <w:pPr>
        <w:pStyle w:val="ListBullet"/>
        <w:ind w:left="360" w:hanging="360"/>
      </w:pPr>
      <w:r>
        <w:rPr>
          <w:rFonts w:ascii="Calibri" w:hAnsi="Calibri"/>
          <w:b/>
          <w:color w:val="525866"/>
          <w:sz w:val="22"/>
        </w:rPr>
        <w:t>SAP noted “LLMs don’t understand business data, processes and governance”</w:t>
      </w:r>
      <w:r>
        <w:rPr>
          <w:rFonts w:ascii="Calibri" w:hAnsi="Calibri"/>
          <w:color w:val="525866"/>
          <w:sz w:val="22"/>
        </w:rPr>
        <w:t xml:space="preserve"> — positioning enterprise-specific AI as the winning approach. This validates MSFT’s Work IQ and M365 Copilot thesis that enterprise context (people, roles, artifacts) is the key differentiator.</w:t>
      </w:r>
    </w:p>
    <w:p>
      <w:pPr>
        <w:pStyle w:val="ListBullet"/>
        <w:ind w:left="360" w:hanging="360"/>
      </w:pPr>
      <w:r>
        <w:rPr>
          <w:rFonts w:ascii="Calibri" w:hAnsi="Calibri"/>
          <w:b/>
          <w:color w:val="525866"/>
          <w:sz w:val="22"/>
        </w:rPr>
        <w:t>SAP’s new Business AI Platform supports LLMs from Anthropic, Cohere, Google, Mistral AI, OpenAI</w:t>
      </w:r>
      <w:r>
        <w:rPr>
          <w:rFonts w:ascii="Calibri" w:hAnsi="Calibri"/>
          <w:color w:val="525866"/>
          <w:sz w:val="22"/>
        </w:rPr>
        <w:t xml:space="preserve"> — notably not exclusively Microsoft, but Azure is a key delivery platform. SAP’s multi-model strategy is consistent with MSFT’s own model-agnostic Azure Foundry positioning.</w:t>
      </w:r>
    </w:p>
    <w:p>
      <w:pPr>
        <w:pStyle w:val="ListBullet"/>
        <w:ind w:left="360" w:hanging="360"/>
      </w:pPr>
      <w:r>
        <w:rPr>
          <w:rFonts w:ascii="Calibri" w:hAnsi="Calibri"/>
          <w:b/>
          <w:color w:val="525866"/>
          <w:sz w:val="22"/>
        </w:rPr>
        <w:t>Caution:</w:t>
      </w:r>
      <w:r>
        <w:rPr>
          <w:rFonts w:ascii="Calibri" w:hAnsi="Calibri"/>
          <w:color w:val="525866"/>
          <w:sz w:val="22"/>
        </w:rPr>
        <w:t xml:space="preserve"> SAP flagged “complex and uncertain operating environment” with “ongoing conflict in the Middle East continuing to weigh on customer sentiment and decision making.” This is the most cautionary macro commentary from any peer and could be a mild negative read-through for MSFT’s international commercial bookings.</w:t>
      </w:r>
    </w:p>
    <w:p>
      <w:pPr>
        <w:pStyle w:val="ListBullet"/>
        <w:ind w:left="360" w:hanging="360"/>
      </w:pPr>
      <w:r>
        <w:rPr>
          <w:rFonts w:ascii="Calibri" w:hAnsi="Calibri"/>
          <w:b/>
          <w:color w:val="525866"/>
          <w:sz w:val="22"/>
        </w:rPr>
        <w:t>SAP adjusted hiring plans downward due to AI productivity gains</w:t>
      </w:r>
      <w:r>
        <w:rPr>
          <w:rFonts w:ascii="Calibri" w:hAnsi="Calibri"/>
          <w:color w:val="525866"/>
          <w:sz w:val="22"/>
        </w:rPr>
        <w:t xml:space="preserve"> — consistent with MSFT’s own voluntary retirement program and headcount decline guidance for FY27. Validates the industry-wide AI-driven workforce optimization trend.</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Metric</w:t>
            </w:r>
          </w:p>
        </w:tc>
        <w:tc>
          <w:tcPr>
            <w:tcW w:type="dxa" w:w="1728"/>
            <w:shd w:val="clear" w:color="auto" w:fill="3B4259"/>
          </w:tcPr>
          <w:p>
            <w:r>
              <w:rPr>
                <w:rFonts w:ascii="Calibri" w:hAnsi="Calibri"/>
                <w:b/>
                <w:color w:val="FFFFFF"/>
                <w:sz w:val="22"/>
              </w:rPr>
              <w:t>Read-Through for MSFT</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Google (GOOGL)</w:t>
            </w:r>
          </w:p>
        </w:tc>
        <w:tc>
          <w:tcPr>
            <w:tcW w:type="dxa" w:w="1728"/>
          </w:tcPr>
          <w:p>
            <w:r>
              <w:rPr>
                <w:rFonts w:ascii="Calibri" w:hAnsi="Calibri"/>
                <w:sz w:val="22"/>
              </w:rPr>
              <w:t>Jul 22, 2026</w:t>
            </w:r>
          </w:p>
        </w:tc>
        <w:tc>
          <w:tcPr>
            <w:tcW w:type="dxa" w:w="1728"/>
          </w:tcPr>
          <w:p>
            <w:r>
              <w:rPr>
                <w:rFonts w:ascii="Calibri" w:hAnsi="Calibri"/>
                <w:sz w:val="22"/>
              </w:rPr>
              <w:t>Cloud +82% YoY; backlog $514B; CapEx raised to $195–205B</w:t>
            </w:r>
          </w:p>
        </w:tc>
        <w:tc>
          <w:tcPr>
            <w:tcW w:type="dxa" w:w="1728"/>
          </w:tcPr>
          <w:p>
            <w:r>
              <w:rPr>
                <w:rFonts w:ascii="Calibri" w:hAnsi="Calibri"/>
                <w:sz w:val="22"/>
              </w:rPr>
              <w:t>Enterprise AI demand accelerating; supply-constrained validates Azure narrative; CapEx validates MSFT’s own spend</w:t>
            </w:r>
          </w:p>
        </w:tc>
        <w:tc>
          <w:tcPr>
            <w:tcW w:type="dxa" w:w="1728"/>
          </w:tcPr>
          <w:p>
            <w:r>
              <w:rPr>
                <w:rFonts w:ascii="Calibri" w:hAnsi="Calibri"/>
                <w:b/>
                <w:color w:val="30A46C"/>
                <w:sz w:val="22"/>
              </w:rPr>
              <w:t>Strongly Positive</w:t>
            </w:r>
          </w:p>
        </w:tc>
      </w:tr>
      <w:tr>
        <w:tc>
          <w:tcPr>
            <w:tcW w:type="dxa" w:w="1728"/>
          </w:tcPr>
          <w:p>
            <w:r>
              <w:rPr>
                <w:rFonts w:ascii="Calibri" w:hAnsi="Calibri"/>
                <w:sz w:val="22"/>
              </w:rPr>
              <w:t>Oracle (ORCL)</w:t>
            </w:r>
          </w:p>
        </w:tc>
        <w:tc>
          <w:tcPr>
            <w:tcW w:type="dxa" w:w="1728"/>
          </w:tcPr>
          <w:p>
            <w:r>
              <w:rPr>
                <w:rFonts w:ascii="Calibri" w:hAnsi="Calibri"/>
                <w:sz w:val="22"/>
              </w:rPr>
              <w:t>Jun 10, 2026</w:t>
            </w:r>
          </w:p>
        </w:tc>
        <w:tc>
          <w:tcPr>
            <w:tcW w:type="dxa" w:w="1728"/>
          </w:tcPr>
          <w:p>
            <w:r>
              <w:rPr>
                <w:rFonts w:ascii="Calibri" w:hAnsi="Calibri"/>
                <w:sz w:val="22"/>
              </w:rPr>
              <w:t>Cloud infra +93%; RPO $638B (+363%); $67B AI contracts signed in quarter</w:t>
            </w:r>
          </w:p>
        </w:tc>
        <w:tc>
          <w:tcPr>
            <w:tcW w:type="dxa" w:w="1728"/>
          </w:tcPr>
          <w:p>
            <w:r>
              <w:rPr>
                <w:rFonts w:ascii="Calibri" w:hAnsi="Calibri"/>
                <w:sz w:val="22"/>
              </w:rPr>
              <w:t>Unprecedented AI contract volumes; demand &gt;&gt; supply; customers past experimental stage</w:t>
            </w:r>
          </w:p>
        </w:tc>
        <w:tc>
          <w:tcPr>
            <w:tcW w:type="dxa" w:w="1728"/>
          </w:tcPr>
          <w:p>
            <w:r>
              <w:rPr>
                <w:rFonts w:ascii="Calibri" w:hAnsi="Calibri"/>
                <w:b/>
                <w:color w:val="30A46C"/>
                <w:sz w:val="22"/>
              </w:rPr>
              <w:t>Strongly Positive</w:t>
            </w:r>
          </w:p>
        </w:tc>
      </w:tr>
      <w:tr>
        <w:tc>
          <w:tcPr>
            <w:tcW w:type="dxa" w:w="1728"/>
          </w:tcPr>
          <w:p>
            <w:r>
              <w:rPr>
                <w:rFonts w:ascii="Calibri" w:hAnsi="Calibri"/>
                <w:sz w:val="22"/>
              </w:rPr>
              <w:t>ServiceNow (NOW)</w:t>
            </w:r>
          </w:p>
        </w:tc>
        <w:tc>
          <w:tcPr>
            <w:tcW w:type="dxa" w:w="1728"/>
          </w:tcPr>
          <w:p>
            <w:r>
              <w:rPr>
                <w:rFonts w:ascii="Calibri" w:hAnsi="Calibri"/>
                <w:sz w:val="22"/>
              </w:rPr>
              <w:t>Jul 22, 2026</w:t>
            </w:r>
          </w:p>
        </w:tc>
        <w:tc>
          <w:tcPr>
            <w:tcW w:type="dxa" w:w="1728"/>
          </w:tcPr>
          <w:p>
            <w:r>
              <w:rPr>
                <w:rFonts w:ascii="Calibri" w:hAnsi="Calibri"/>
                <w:sz w:val="22"/>
              </w:rPr>
              <w:t>AI ACV &gt;$1B; agentic AI customers 9x in 9 months; deal cycles positive</w:t>
            </w:r>
          </w:p>
        </w:tc>
        <w:tc>
          <w:tcPr>
            <w:tcW w:type="dxa" w:w="1728"/>
          </w:tcPr>
          <w:p>
            <w:r>
              <w:rPr>
                <w:rFonts w:ascii="Calibri" w:hAnsi="Calibri"/>
                <w:sz w:val="22"/>
              </w:rPr>
              <w:t>Enterprise AI software spending real and scaling; Agent 365 integration validates MSFT platform</w:t>
            </w:r>
          </w:p>
        </w:tc>
        <w:tc>
          <w:tcPr>
            <w:tcW w:type="dxa" w:w="1728"/>
          </w:tcPr>
          <w:p>
            <w:r>
              <w:rPr>
                <w:rFonts w:ascii="Calibri" w:hAnsi="Calibri"/>
                <w:b/>
                <w:color w:val="30A46C"/>
                <w:sz w:val="22"/>
              </w:rPr>
              <w:t>Positive</w:t>
            </w:r>
          </w:p>
        </w:tc>
      </w:tr>
      <w:tr>
        <w:tc>
          <w:tcPr>
            <w:tcW w:type="dxa" w:w="1728"/>
          </w:tcPr>
          <w:p>
            <w:r>
              <w:rPr>
                <w:rFonts w:ascii="Calibri" w:hAnsi="Calibri"/>
                <w:sz w:val="22"/>
              </w:rPr>
              <w:t>Salesforce (CRM)</w:t>
            </w:r>
          </w:p>
        </w:tc>
        <w:tc>
          <w:tcPr>
            <w:tcW w:type="dxa" w:w="1728"/>
          </w:tcPr>
          <w:p>
            <w:r>
              <w:rPr>
                <w:rFonts w:ascii="Calibri" w:hAnsi="Calibri"/>
                <w:sz w:val="22"/>
              </w:rPr>
              <w:t>May 27, 2026</w:t>
            </w:r>
          </w:p>
        </w:tc>
        <w:tc>
          <w:tcPr>
            <w:tcW w:type="dxa" w:w="1728"/>
          </w:tcPr>
          <w:p>
            <w:r>
              <w:rPr>
                <w:rFonts w:ascii="Calibri" w:hAnsi="Calibri"/>
                <w:sz w:val="22"/>
              </w:rPr>
              <w:t>Agentforce ARR &gt;$1B; tokens +152% QoQ; 98 deals &gt;$1M new ACV</w:t>
            </w:r>
          </w:p>
        </w:tc>
        <w:tc>
          <w:tcPr>
            <w:tcW w:type="dxa" w:w="1728"/>
          </w:tcPr>
          <w:p>
            <w:r>
              <w:rPr>
                <w:rFonts w:ascii="Calibri" w:hAnsi="Calibri"/>
                <w:sz w:val="22"/>
              </w:rPr>
              <w:t>Agentic AI adoption accelerating; seat+consumption model validates MSFT pricing evolution</w:t>
            </w:r>
          </w:p>
        </w:tc>
        <w:tc>
          <w:tcPr>
            <w:tcW w:type="dxa" w:w="1728"/>
          </w:tcPr>
          <w:p>
            <w:r>
              <w:rPr>
                <w:rFonts w:ascii="Calibri" w:hAnsi="Calibri"/>
                <w:b/>
                <w:color w:val="30A46C"/>
                <w:sz w:val="22"/>
              </w:rPr>
              <w:t>Positive / Mixed</w:t>
            </w:r>
          </w:p>
        </w:tc>
      </w:tr>
      <w:tr>
        <w:tc>
          <w:tcPr>
            <w:tcW w:type="dxa" w:w="1728"/>
          </w:tcPr>
          <w:p>
            <w:r>
              <w:rPr>
                <w:rFonts w:ascii="Calibri" w:hAnsi="Calibri"/>
                <w:sz w:val="22"/>
              </w:rPr>
              <w:t>Snowflake (SNOW)</w:t>
            </w:r>
          </w:p>
        </w:tc>
        <w:tc>
          <w:tcPr>
            <w:tcW w:type="dxa" w:w="1728"/>
          </w:tcPr>
          <w:p>
            <w:r>
              <w:rPr>
                <w:rFonts w:ascii="Calibri" w:hAnsi="Calibri"/>
                <w:sz w:val="22"/>
              </w:rPr>
              <w:t>May 27, 2026</w:t>
            </w:r>
          </w:p>
        </w:tc>
        <w:tc>
          <w:tcPr>
            <w:tcW w:type="dxa" w:w="1728"/>
          </w:tcPr>
          <w:p>
            <w:r>
              <w:rPr>
                <w:rFonts w:ascii="Calibri" w:hAnsi="Calibri"/>
                <w:sz w:val="22"/>
              </w:rPr>
              <w:t>Product rev +34% (accelerating); FY27 guide raised to 31%; NRR 126%</w:t>
            </w:r>
          </w:p>
        </w:tc>
        <w:tc>
          <w:tcPr>
            <w:tcW w:type="dxa" w:w="1728"/>
          </w:tcPr>
          <w:p>
            <w:r>
              <w:rPr>
                <w:rFonts w:ascii="Calibri" w:hAnsi="Calibri"/>
                <w:sz w:val="22"/>
              </w:rPr>
              <w:t>AI workload migration accelerating; coding AI driving real consumption uplift</w:t>
            </w:r>
          </w:p>
        </w:tc>
        <w:tc>
          <w:tcPr>
            <w:tcW w:type="dxa" w:w="1728"/>
          </w:tcPr>
          <w:p>
            <w:r>
              <w:rPr>
                <w:rFonts w:ascii="Calibri" w:hAnsi="Calibri"/>
                <w:b/>
                <w:color w:val="30A46C"/>
                <w:sz w:val="22"/>
              </w:rPr>
              <w:t>Positive</w:t>
            </w:r>
          </w:p>
        </w:tc>
      </w:tr>
      <w:tr>
        <w:tc>
          <w:tcPr>
            <w:tcW w:type="dxa" w:w="1728"/>
          </w:tcPr>
          <w:p>
            <w:r>
              <w:rPr>
                <w:rFonts w:ascii="Calibri" w:hAnsi="Calibri"/>
                <w:sz w:val="22"/>
              </w:rPr>
              <w:t>Adobe (ADBE)</w:t>
            </w:r>
          </w:p>
        </w:tc>
        <w:tc>
          <w:tcPr>
            <w:tcW w:type="dxa" w:w="1728"/>
          </w:tcPr>
          <w:p>
            <w:r>
              <w:rPr>
                <w:rFonts w:ascii="Calibri" w:hAnsi="Calibri"/>
                <w:sz w:val="22"/>
              </w:rPr>
              <w:t>Jun 11, 2026</w:t>
            </w:r>
          </w:p>
        </w:tc>
        <w:tc>
          <w:tcPr>
            <w:tcW w:type="dxa" w:w="1728"/>
          </w:tcPr>
          <w:p>
            <w:r>
              <w:rPr>
                <w:rFonts w:ascii="Calibri" w:hAnsi="Calibri"/>
                <w:sz w:val="22"/>
              </w:rPr>
              <w:t>AI-first IRR 3x YoY; Copilot integration announced; “huge user” of MSFT cloud</w:t>
            </w:r>
          </w:p>
        </w:tc>
        <w:tc>
          <w:tcPr>
            <w:tcW w:type="dxa" w:w="1728"/>
          </w:tcPr>
          <w:p>
            <w:r>
              <w:rPr>
                <w:rFonts w:ascii="Calibri" w:hAnsi="Calibri"/>
                <w:sz w:val="22"/>
              </w:rPr>
              <w:t>Enterprise AI software monetization real; Azure cloud demand confirmed; Copilot platform validated</w:t>
            </w:r>
          </w:p>
        </w:tc>
        <w:tc>
          <w:tcPr>
            <w:tcW w:type="dxa" w:w="1728"/>
          </w:tcPr>
          <w:p>
            <w:r>
              <w:rPr>
                <w:rFonts w:ascii="Calibri" w:hAnsi="Calibri"/>
                <w:b/>
                <w:color w:val="30A46C"/>
                <w:sz w:val="22"/>
              </w:rPr>
              <w:t>Positive / Neutral</w:t>
            </w:r>
          </w:p>
        </w:tc>
      </w:tr>
      <w:tr>
        <w:tc>
          <w:tcPr>
            <w:tcW w:type="dxa" w:w="1728"/>
          </w:tcPr>
          <w:p>
            <w:r>
              <w:rPr>
                <w:rFonts w:ascii="Calibri" w:hAnsi="Calibri"/>
                <w:sz w:val="22"/>
              </w:rPr>
              <w:t>SAP (SAP)</w:t>
            </w:r>
          </w:p>
        </w:tc>
        <w:tc>
          <w:tcPr>
            <w:tcW w:type="dxa" w:w="1728"/>
          </w:tcPr>
          <w:p>
            <w:r>
              <w:rPr>
                <w:rFonts w:ascii="Calibri" w:hAnsi="Calibri"/>
                <w:sz w:val="22"/>
              </w:rPr>
              <w:t>Jul 23, 2026</w:t>
            </w:r>
          </w:p>
        </w:tc>
        <w:tc>
          <w:tcPr>
            <w:tcW w:type="dxa" w:w="1728"/>
          </w:tcPr>
          <w:p>
            <w:r>
              <w:rPr>
                <w:rFonts w:ascii="Calibri" w:hAnsi="Calibri"/>
                <w:sz w:val="22"/>
              </w:rPr>
              <w:t>Cloud +24%; backlog +26% (accelerating); AI in &gt;90% of top 50 deals</w:t>
            </w:r>
          </w:p>
        </w:tc>
        <w:tc>
          <w:tcPr>
            <w:tcW w:type="dxa" w:w="1728"/>
          </w:tcPr>
          <w:p>
            <w:r>
              <w:rPr>
                <w:rFonts w:ascii="Calibri" w:hAnsi="Calibri"/>
                <w:sz w:val="22"/>
              </w:rPr>
              <w:t>Enterprise AI mission-critical; macro/geopolitical caution on international bookings</w:t>
            </w:r>
          </w:p>
        </w:tc>
        <w:tc>
          <w:tcPr>
            <w:tcW w:type="dxa" w:w="1728"/>
          </w:tcPr>
          <w:p>
            <w:r>
              <w:rPr>
                <w:rFonts w:ascii="Calibri" w:hAnsi="Calibri"/>
                <w:b/>
                <w:color w:val="30A46C"/>
                <w:sz w:val="22"/>
              </w:rPr>
              <w:t>Positive / Cautionary</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from insiders since last earnings — the only discretionary sales were from Judson Althoff (CEO Microsoft Commercial, 15,500 shares on June 1) and Takeshi Numoto (CMO, 7,000 shares across June 8–10). All other transactions are routine RSU awards (code A) or tax withholding dispositions (code F). The absence of insider buying at a ~7% discount to the post-earnings price is a mild negative signal, though the sales volumes are not alarming.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Althoff, Judson</w:t>
            </w:r>
          </w:p>
        </w:tc>
        <w:tc>
          <w:tcPr>
            <w:tcW w:type="dxa" w:w="1440"/>
          </w:tcPr>
          <w:p>
            <w:r>
              <w:rPr>
                <w:rFonts w:ascii="Calibri" w:hAnsi="Calibri"/>
                <w:sz w:val="22"/>
              </w:rPr>
              <w:t>CEO Microsoft Commercial</w:t>
            </w:r>
          </w:p>
        </w:tc>
        <w:tc>
          <w:tcPr>
            <w:tcW w:type="dxa" w:w="1440"/>
          </w:tcPr>
          <w:p>
            <w:r>
              <w:rPr>
                <w:rFonts w:ascii="Calibri" w:hAnsi="Calibri"/>
                <w:sz w:val="22"/>
              </w:rPr>
              <w:t>Open Market Sale</w:t>
            </w:r>
          </w:p>
        </w:tc>
        <w:tc>
          <w:tcPr>
            <w:tcW w:type="dxa" w:w="1440"/>
          </w:tcPr>
          <w:p>
            <w:r>
              <w:rPr>
                <w:rFonts w:ascii="Calibri" w:hAnsi="Calibri"/>
                <w:sz w:val="22"/>
              </w:rPr>
              <w:t>15,500 shares</w:t>
            </w:r>
          </w:p>
        </w:tc>
        <w:tc>
          <w:tcPr>
            <w:tcW w:type="dxa" w:w="1440"/>
          </w:tcPr>
          <w:p>
            <w:r>
              <w:rPr>
                <w:rFonts w:ascii="Calibri" w:hAnsi="Calibri"/>
                <w:sz w:val="22"/>
              </w:rPr>
              <w:t>Jun 1, 2026</w:t>
            </w:r>
          </w:p>
        </w:tc>
        <w:tc>
          <w:tcPr>
            <w:tcW w:type="dxa" w:w="1440"/>
          </w:tcPr>
          <w:p>
            <w:r>
              <w:rPr>
                <w:rFonts w:ascii="Calibri" w:hAnsi="Calibri"/>
                <w:sz w:val="22"/>
              </w:rPr>
              <w:t>Discretionary sale; largest insider sale in the period. Stock was ~$441 at time of sale.</w:t>
            </w:r>
          </w:p>
        </w:tc>
      </w:tr>
      <w:tr>
        <w:tc>
          <w:tcPr>
            <w:tcW w:type="dxa" w:w="1440"/>
          </w:tcPr>
          <w:p>
            <w:r>
              <w:rPr>
                <w:rFonts w:ascii="Calibri" w:hAnsi="Calibri"/>
                <w:sz w:val="22"/>
              </w:rPr>
              <w:t>Numoto, Takeshi</w:t>
            </w:r>
          </w:p>
        </w:tc>
        <w:tc>
          <w:tcPr>
            <w:tcW w:type="dxa" w:w="1440"/>
          </w:tcPr>
          <w:p>
            <w:r>
              <w:rPr>
                <w:rFonts w:ascii="Calibri" w:hAnsi="Calibri"/>
                <w:sz w:val="22"/>
              </w:rPr>
              <w:t>EVP, Chief Marketing Officer</w:t>
            </w:r>
          </w:p>
        </w:tc>
        <w:tc>
          <w:tcPr>
            <w:tcW w:type="dxa" w:w="1440"/>
          </w:tcPr>
          <w:p>
            <w:r>
              <w:rPr>
                <w:rFonts w:ascii="Calibri" w:hAnsi="Calibri"/>
                <w:sz w:val="22"/>
              </w:rPr>
              <w:t>Open Market Sale</w:t>
            </w:r>
          </w:p>
        </w:tc>
        <w:tc>
          <w:tcPr>
            <w:tcW w:type="dxa" w:w="1440"/>
          </w:tcPr>
          <w:p>
            <w:r>
              <w:rPr>
                <w:rFonts w:ascii="Calibri" w:hAnsi="Calibri"/>
                <w:sz w:val="22"/>
              </w:rPr>
              <w:t>2,500 shares</w:t>
            </w:r>
          </w:p>
        </w:tc>
        <w:tc>
          <w:tcPr>
            <w:tcW w:type="dxa" w:w="1440"/>
          </w:tcPr>
          <w:p>
            <w:r>
              <w:rPr>
                <w:rFonts w:ascii="Calibri" w:hAnsi="Calibri"/>
                <w:sz w:val="22"/>
              </w:rPr>
              <w:t>Jun 8, 2026</w:t>
            </w:r>
          </w:p>
        </w:tc>
        <w:tc>
          <w:tcPr>
            <w:tcW w:type="dxa" w:w="1440"/>
          </w:tcPr>
          <w:p>
            <w:r>
              <w:rPr>
                <w:rFonts w:ascii="Calibri" w:hAnsi="Calibri"/>
                <w:sz w:val="22"/>
              </w:rPr>
              <w:t>Discretionary sale; stock ~$411 at time of sale.</w:t>
            </w:r>
          </w:p>
        </w:tc>
      </w:tr>
      <w:tr>
        <w:tc>
          <w:tcPr>
            <w:tcW w:type="dxa" w:w="1440"/>
          </w:tcPr>
          <w:p>
            <w:r>
              <w:rPr>
                <w:rFonts w:ascii="Calibri" w:hAnsi="Calibri"/>
                <w:sz w:val="22"/>
              </w:rPr>
              <w:t>Numoto, Takeshi</w:t>
            </w:r>
          </w:p>
        </w:tc>
        <w:tc>
          <w:tcPr>
            <w:tcW w:type="dxa" w:w="1440"/>
          </w:tcPr>
          <w:p>
            <w:r>
              <w:rPr>
                <w:rFonts w:ascii="Calibri" w:hAnsi="Calibri"/>
                <w:sz w:val="22"/>
              </w:rPr>
              <w:t>EVP, Chief Marketing Officer</w:t>
            </w:r>
          </w:p>
        </w:tc>
        <w:tc>
          <w:tcPr>
            <w:tcW w:type="dxa" w:w="1440"/>
          </w:tcPr>
          <w:p>
            <w:r>
              <w:rPr>
                <w:rFonts w:ascii="Calibri" w:hAnsi="Calibri"/>
                <w:sz w:val="22"/>
              </w:rPr>
              <w:t>Open Market Sale</w:t>
            </w:r>
          </w:p>
        </w:tc>
        <w:tc>
          <w:tcPr>
            <w:tcW w:type="dxa" w:w="1440"/>
          </w:tcPr>
          <w:p>
            <w:r>
              <w:rPr>
                <w:rFonts w:ascii="Calibri" w:hAnsi="Calibri"/>
                <w:sz w:val="22"/>
              </w:rPr>
              <w:t>4,500 shares</w:t>
            </w:r>
          </w:p>
        </w:tc>
        <w:tc>
          <w:tcPr>
            <w:tcW w:type="dxa" w:w="1440"/>
          </w:tcPr>
          <w:p>
            <w:r>
              <w:rPr>
                <w:rFonts w:ascii="Calibri" w:hAnsi="Calibri"/>
                <w:sz w:val="22"/>
              </w:rPr>
              <w:t>Jun 10, 2026</w:t>
            </w:r>
          </w:p>
        </w:tc>
        <w:tc>
          <w:tcPr>
            <w:tcW w:type="dxa" w:w="1440"/>
          </w:tcPr>
          <w:p>
            <w:r>
              <w:rPr>
                <w:rFonts w:ascii="Calibri" w:hAnsi="Calibri"/>
                <w:sz w:val="22"/>
              </w:rPr>
              <w:t>Discretionary sale; stock ~$397 at time of sale.</w:t>
            </w:r>
          </w:p>
        </w:tc>
      </w:tr>
      <w:tr>
        <w:tc>
          <w:tcPr>
            <w:tcW w:type="dxa" w:w="1440"/>
          </w:tcPr>
          <w:p>
            <w:r>
              <w:rPr>
                <w:rFonts w:ascii="Calibri" w:hAnsi="Calibri"/>
                <w:sz w:val="22"/>
              </w:rPr>
              <w:t>Coleman, Amy</w:t>
            </w:r>
          </w:p>
        </w:tc>
        <w:tc>
          <w:tcPr>
            <w:tcW w:type="dxa" w:w="1440"/>
          </w:tcPr>
          <w:p>
            <w:r>
              <w:rPr>
                <w:rFonts w:ascii="Calibri" w:hAnsi="Calibri"/>
                <w:sz w:val="22"/>
              </w:rPr>
              <w:t>EVP, Chief Human Resources Officer</w:t>
            </w:r>
          </w:p>
        </w:tc>
        <w:tc>
          <w:tcPr>
            <w:tcW w:type="dxa" w:w="1440"/>
          </w:tcPr>
          <w:p>
            <w:r>
              <w:rPr>
                <w:rFonts w:ascii="Calibri" w:hAnsi="Calibri"/>
                <w:sz w:val="22"/>
              </w:rPr>
              <w:t>Tax Withholding Disposition (F)</w:t>
            </w:r>
          </w:p>
        </w:tc>
        <w:tc>
          <w:tcPr>
            <w:tcW w:type="dxa" w:w="1440"/>
          </w:tcPr>
          <w:p>
            <w:r>
              <w:rPr>
                <w:rFonts w:ascii="Calibri" w:hAnsi="Calibri"/>
                <w:sz w:val="22"/>
              </w:rPr>
              <w:t>433.8 shares</w:t>
            </w:r>
          </w:p>
        </w:tc>
        <w:tc>
          <w:tcPr>
            <w:tcW w:type="dxa" w:w="1440"/>
          </w:tcPr>
          <w:p>
            <w:r>
              <w:rPr>
                <w:rFonts w:ascii="Calibri" w:hAnsi="Calibri"/>
                <w:sz w:val="22"/>
              </w:rPr>
              <w:t>Jun 1, 2026</w:t>
            </w:r>
          </w:p>
        </w:tc>
        <w:tc>
          <w:tcPr>
            <w:tcW w:type="dxa" w:w="1440"/>
          </w:tcPr>
          <w:p>
            <w:r>
              <w:rPr>
                <w:rFonts w:ascii="Calibri" w:hAnsi="Calibri"/>
                <w:sz w:val="22"/>
              </w:rPr>
              <w:t>Routine tax withholding on RSU vest; not discretionary.</w:t>
            </w:r>
          </w:p>
        </w:tc>
      </w:tr>
      <w:tr>
        <w:tc>
          <w:tcPr>
            <w:tcW w:type="dxa" w:w="1440"/>
          </w:tcPr>
          <w:p>
            <w:r>
              <w:rPr>
                <w:rFonts w:ascii="Calibri" w:hAnsi="Calibri"/>
                <w:sz w:val="22"/>
              </w:rPr>
              <w:t>Coleman, Amy</w:t>
            </w:r>
          </w:p>
        </w:tc>
        <w:tc>
          <w:tcPr>
            <w:tcW w:type="dxa" w:w="1440"/>
          </w:tcPr>
          <w:p>
            <w:r>
              <w:rPr>
                <w:rFonts w:ascii="Calibri" w:hAnsi="Calibri"/>
                <w:sz w:val="22"/>
              </w:rPr>
              <w:t>EVP, Chief Human Resources Officer</w:t>
            </w:r>
          </w:p>
        </w:tc>
        <w:tc>
          <w:tcPr>
            <w:tcW w:type="dxa" w:w="1440"/>
          </w:tcPr>
          <w:p>
            <w:r>
              <w:rPr>
                <w:rFonts w:ascii="Calibri" w:hAnsi="Calibri"/>
                <w:sz w:val="22"/>
              </w:rPr>
              <w:t>Open Market Sale</w:t>
            </w:r>
          </w:p>
        </w:tc>
        <w:tc>
          <w:tcPr>
            <w:tcW w:type="dxa" w:w="1440"/>
          </w:tcPr>
          <w:p>
            <w:r>
              <w:rPr>
                <w:rFonts w:ascii="Calibri" w:hAnsi="Calibri"/>
                <w:sz w:val="22"/>
              </w:rPr>
              <w:t>1,262 shares</w:t>
            </w:r>
          </w:p>
        </w:tc>
        <w:tc>
          <w:tcPr>
            <w:tcW w:type="dxa" w:w="1440"/>
          </w:tcPr>
          <w:p>
            <w:r>
              <w:rPr>
                <w:rFonts w:ascii="Calibri" w:hAnsi="Calibri"/>
                <w:sz w:val="22"/>
              </w:rPr>
              <w:t>May 14, 2026</w:t>
            </w:r>
          </w:p>
        </w:tc>
        <w:tc>
          <w:tcPr>
            <w:tcW w:type="dxa" w:w="1440"/>
          </w:tcPr>
          <w:p>
            <w:r>
              <w:rPr>
                <w:rFonts w:ascii="Calibri" w:hAnsi="Calibri"/>
                <w:sz w:val="22"/>
              </w:rPr>
              <w:t>Discretionary sale; stock ~$421 at time of sale.</w:t>
            </w:r>
          </w:p>
        </w:tc>
      </w:tr>
      <w:tr>
        <w:tc>
          <w:tcPr>
            <w:tcW w:type="dxa" w:w="1440"/>
          </w:tcPr>
          <w:p>
            <w:r>
              <w:rPr>
                <w:rFonts w:ascii="Calibri" w:hAnsi="Calibri"/>
                <w:sz w:val="22"/>
              </w:rPr>
              <w:t>Coleman, Amy</w:t>
            </w:r>
          </w:p>
        </w:tc>
        <w:tc>
          <w:tcPr>
            <w:tcW w:type="dxa" w:w="1440"/>
          </w:tcPr>
          <w:p>
            <w:r>
              <w:rPr>
                <w:rFonts w:ascii="Calibri" w:hAnsi="Calibri"/>
                <w:sz w:val="22"/>
              </w:rPr>
              <w:t>EVP, Chief Human Resources Officer</w:t>
            </w:r>
          </w:p>
        </w:tc>
        <w:tc>
          <w:tcPr>
            <w:tcW w:type="dxa" w:w="1440"/>
          </w:tcPr>
          <w:p>
            <w:r>
              <w:rPr>
                <w:rFonts w:ascii="Calibri" w:hAnsi="Calibri"/>
                <w:sz w:val="22"/>
              </w:rPr>
              <w:t>Tax Withholding Disposition (F)</w:t>
            </w:r>
          </w:p>
        </w:tc>
        <w:tc>
          <w:tcPr>
            <w:tcW w:type="dxa" w:w="1440"/>
          </w:tcPr>
          <w:p>
            <w:r>
              <w:rPr>
                <w:rFonts w:ascii="Calibri" w:hAnsi="Calibri"/>
                <w:sz w:val="22"/>
              </w:rPr>
              <w:t>35.9 shares</w:t>
            </w:r>
          </w:p>
        </w:tc>
        <w:tc>
          <w:tcPr>
            <w:tcW w:type="dxa" w:w="1440"/>
          </w:tcPr>
          <w:p>
            <w:r>
              <w:rPr>
                <w:rFonts w:ascii="Calibri" w:hAnsi="Calibri"/>
                <w:sz w:val="22"/>
              </w:rPr>
              <w:t>Jun 15, 2026</w:t>
            </w:r>
          </w:p>
        </w:tc>
        <w:tc>
          <w:tcPr>
            <w:tcW w:type="dxa" w:w="1440"/>
          </w:tcPr>
          <w:p>
            <w:r>
              <w:rPr>
                <w:rFonts w:ascii="Calibri" w:hAnsi="Calibri"/>
                <w:sz w:val="22"/>
              </w:rPr>
              <w:t>Routine tax withholding on RSU vest; not discretionary.</w:t>
            </w:r>
          </w:p>
        </w:tc>
      </w:tr>
      <w:tr>
        <w:tc>
          <w:tcPr>
            <w:tcW w:type="dxa" w:w="1440"/>
          </w:tcPr>
          <w:p>
            <w:r>
              <w:rPr>
                <w:rFonts w:ascii="Calibri" w:hAnsi="Calibri"/>
                <w:sz w:val="22"/>
              </w:rPr>
              <w:t>Coleman, Amy</w:t>
            </w:r>
          </w:p>
        </w:tc>
        <w:tc>
          <w:tcPr>
            <w:tcW w:type="dxa" w:w="1440"/>
          </w:tcPr>
          <w:p>
            <w:r>
              <w:rPr>
                <w:rFonts w:ascii="Calibri" w:hAnsi="Calibri"/>
                <w:sz w:val="22"/>
              </w:rPr>
              <w:t>EVP, Chief Human Resources Officer</w:t>
            </w:r>
          </w:p>
        </w:tc>
        <w:tc>
          <w:tcPr>
            <w:tcW w:type="dxa" w:w="1440"/>
          </w:tcPr>
          <w:p>
            <w:r>
              <w:rPr>
                <w:rFonts w:ascii="Calibri" w:hAnsi="Calibri"/>
                <w:sz w:val="22"/>
              </w:rPr>
              <w:t>Tax Withholding Disposition (F)</w:t>
            </w:r>
          </w:p>
        </w:tc>
        <w:tc>
          <w:tcPr>
            <w:tcW w:type="dxa" w:w="1440"/>
          </w:tcPr>
          <w:p>
            <w:r>
              <w:rPr>
                <w:rFonts w:ascii="Calibri" w:hAnsi="Calibri"/>
                <w:sz w:val="22"/>
              </w:rPr>
              <w:t>32.3 shares</w:t>
            </w:r>
          </w:p>
        </w:tc>
        <w:tc>
          <w:tcPr>
            <w:tcW w:type="dxa" w:w="1440"/>
          </w:tcPr>
          <w:p>
            <w:r>
              <w:rPr>
                <w:rFonts w:ascii="Calibri" w:hAnsi="Calibri"/>
                <w:sz w:val="22"/>
              </w:rPr>
              <w:t>Jul 15, 2026</w:t>
            </w:r>
          </w:p>
        </w:tc>
        <w:tc>
          <w:tcPr>
            <w:tcW w:type="dxa" w:w="1440"/>
          </w:tcPr>
          <w:p>
            <w:r>
              <w:rPr>
                <w:rFonts w:ascii="Calibri" w:hAnsi="Calibri"/>
                <w:sz w:val="22"/>
              </w:rPr>
              <w:t>Routine tax withholding on RSU vest; not discretionary.</w:t>
            </w:r>
          </w:p>
        </w:tc>
      </w:tr>
      <w:tr>
        <w:tc>
          <w:tcPr>
            <w:tcW w:type="dxa" w:w="1440"/>
          </w:tcPr>
          <w:p>
            <w:r>
              <w:rPr>
                <w:rFonts w:ascii="Calibri" w:hAnsi="Calibri"/>
                <w:sz w:val="22"/>
              </w:rPr>
              <w:t>Jolla, Alice L.</w:t>
            </w:r>
          </w:p>
        </w:tc>
        <w:tc>
          <w:tcPr>
            <w:tcW w:type="dxa" w:w="1440"/>
          </w:tcPr>
          <w:p>
            <w:r>
              <w:rPr>
                <w:rFonts w:ascii="Calibri" w:hAnsi="Calibri"/>
                <w:sz w:val="22"/>
              </w:rPr>
              <w:t>Chief Accounting Officer</w:t>
            </w:r>
          </w:p>
        </w:tc>
        <w:tc>
          <w:tcPr>
            <w:tcW w:type="dxa" w:w="1440"/>
          </w:tcPr>
          <w:p>
            <w:r>
              <w:rPr>
                <w:rFonts w:ascii="Calibri" w:hAnsi="Calibri"/>
                <w:sz w:val="22"/>
              </w:rPr>
              <w:t>RSU Award (A)</w:t>
            </w:r>
          </w:p>
        </w:tc>
        <w:tc>
          <w:tcPr>
            <w:tcW w:type="dxa" w:w="1440"/>
          </w:tcPr>
          <w:p>
            <w:r>
              <w:rPr>
                <w:rFonts w:ascii="Calibri" w:hAnsi="Calibri"/>
                <w:sz w:val="22"/>
              </w:rPr>
              <w:t>5,004 shares</w:t>
            </w:r>
          </w:p>
        </w:tc>
        <w:tc>
          <w:tcPr>
            <w:tcW w:type="dxa" w:w="1440"/>
          </w:tcPr>
          <w:p>
            <w:r>
              <w:rPr>
                <w:rFonts w:ascii="Calibri" w:hAnsi="Calibri"/>
                <w:sz w:val="22"/>
              </w:rPr>
              <w:t>Jun 15, 2026</w:t>
            </w:r>
          </w:p>
        </w:tc>
        <w:tc>
          <w:tcPr>
            <w:tcW w:type="dxa" w:w="1440"/>
          </w:tcPr>
          <w:p>
            <w:r>
              <w:rPr>
                <w:rFonts w:ascii="Calibri" w:hAnsi="Calibri"/>
                <w:sz w:val="22"/>
              </w:rPr>
              <w:t>Routine RSU grant; not a market transaction.</w:t>
            </w:r>
          </w:p>
        </w:tc>
      </w:tr>
      <w:tr>
        <w:tc>
          <w:tcPr>
            <w:tcW w:type="dxa" w:w="1440"/>
          </w:tcPr>
          <w:p>
            <w:r>
              <w:rPr>
                <w:rFonts w:ascii="Calibri" w:hAnsi="Calibri"/>
                <w:sz w:val="22"/>
              </w:rPr>
              <w:t>Multiple Directors (11)</w:t>
            </w:r>
          </w:p>
        </w:tc>
        <w:tc>
          <w:tcPr>
            <w:tcW w:type="dxa" w:w="1440"/>
          </w:tcPr>
          <w:p>
            <w:r>
              <w:rPr>
                <w:rFonts w:ascii="Calibri" w:hAnsi="Calibri"/>
                <w:sz w:val="22"/>
              </w:rPr>
              <w:t>Board of Directors</w:t>
            </w:r>
          </w:p>
        </w:tc>
        <w:tc>
          <w:tcPr>
            <w:tcW w:type="dxa" w:w="1440"/>
          </w:tcPr>
          <w:p>
            <w:r>
              <w:rPr>
                <w:rFonts w:ascii="Calibri" w:hAnsi="Calibri"/>
                <w:sz w:val="22"/>
              </w:rPr>
              <w:t>RSU Awards (A)</w:t>
            </w:r>
          </w:p>
        </w:tc>
        <w:tc>
          <w:tcPr>
            <w:tcW w:type="dxa" w:w="1440"/>
          </w:tcPr>
          <w:p>
            <w:r>
              <w:rPr>
                <w:rFonts w:ascii="Calibri" w:hAnsi="Calibri"/>
                <w:sz w:val="22"/>
              </w:rPr>
              <w:t>Various (routine annual grants)</w:t>
            </w:r>
          </w:p>
        </w:tc>
        <w:tc>
          <w:tcPr>
            <w:tcW w:type="dxa" w:w="1440"/>
          </w:tcPr>
          <w:p>
            <w:r>
              <w:rPr>
                <w:rFonts w:ascii="Calibri" w:hAnsi="Calibri"/>
                <w:sz w:val="22"/>
              </w:rPr>
              <w:t>Jun 5–12, 2026</w:t>
            </w:r>
          </w:p>
        </w:tc>
        <w:tc>
          <w:tcPr>
            <w:tcW w:type="dxa" w:w="1440"/>
          </w:tcPr>
          <w:p>
            <w:r>
              <w:rPr>
                <w:rFonts w:ascii="Calibri" w:hAnsi="Calibri"/>
                <w:sz w:val="22"/>
              </w:rPr>
              <w:t>Annual director RSU grants; routine compensation; not market transactions.</w:t>
            </w:r>
          </w:p>
        </w:tc>
      </w:tr>
    </w:tbl>
    <w:p>
      <w:r>
        <w:rPr>
          <w:rFonts w:ascii="Calibri" w:hAnsi="Calibri"/>
          <w:color w:val="525866"/>
          <w:sz w:val="22"/>
        </w:rPr>
        <w:t>The only notable open-market sales are from Judson Althoff (CEO Microsoft Commercial, 15,500 shares at ~$441 on June 1) and Takeshi Numoto (CMO, 7,000 shares total across June 8–10 at ~$397–$411). Both sales occurred when the stock was trading well above current levels (~$393), suggesting these were opportunistic rather than signaling fundamental concern. No open-market buys were recorded from any insider since the Q3 FY2026 earnings print. The absence of insider buying at current levels (near 52-week lows) is a mild negative signal but not alarming given the routine nature of the sales and the large RSU grant activity.</w:t>
      </w:r>
    </w:p>
    <w:p>
      <w:r>
        <w:rPr>
          <w:rFonts w:ascii="Calibri" w:hAnsi="Calibri"/>
          <w:i/>
          <w:color w:val="525866"/>
          <w:sz w:val="22"/>
        </w:rPr>
        <w:t>Source: SEC Form 4 filings via Insider Transaction Data. Open-market buys (code P) and sells (code S) only; RSU awards (code A) and tax withholding dispositions (code F) noted for context.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