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Microsoft Corporation (MSFT)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Microsoft Corporation</w:t>
            </w:r>
          </w:p>
        </w:tc>
        <w:tc>
          <w:tcPr>
            <w:tcW w:type="dxa" w:w="2160"/>
          </w:tcPr>
          <w:p>
            <w:r>
              <w:rPr>
                <w:rFonts w:ascii="Calibri" w:hAnsi="Calibri"/>
                <w:b/>
                <w:sz w:val="22"/>
              </w:rPr>
              <w:t>Ticker</w:t>
            </w:r>
          </w:p>
        </w:tc>
        <w:tc>
          <w:tcPr>
            <w:tcW w:type="dxa" w:w="2160"/>
          </w:tcPr>
          <w:p>
            <w:r>
              <w:rPr>
                <w:rFonts w:ascii="Calibri" w:hAnsi="Calibri"/>
                <w:sz w:val="22"/>
              </w:rPr>
              <w:t>MSFT (Nasdaq)</w:t>
            </w:r>
          </w:p>
        </w:tc>
      </w:tr>
      <w:tr>
        <w:tc>
          <w:tcPr>
            <w:tcW w:type="dxa" w:w="2160"/>
          </w:tcPr>
          <w:p>
            <w:r>
              <w:rPr>
                <w:rFonts w:ascii="Calibri" w:hAnsi="Calibri"/>
                <w:b/>
                <w:sz w:val="22"/>
              </w:rPr>
              <w:t>Report Date</w:t>
            </w:r>
          </w:p>
        </w:tc>
        <w:tc>
          <w:tcPr>
            <w:tcW w:type="dxa" w:w="2160"/>
          </w:tcPr>
          <w:p>
            <w:r>
              <w:rPr>
                <w:rFonts w:ascii="Calibri" w:hAnsi="Calibri"/>
                <w:sz w:val="22"/>
              </w:rPr>
              <w:t>July 29, 2026 (After Market Close)</w:t>
            </w:r>
          </w:p>
        </w:tc>
        <w:tc>
          <w:tcPr>
            <w:tcW w:type="dxa" w:w="2160"/>
          </w:tcPr>
          <w:p>
            <w:r>
              <w:rPr>
                <w:rFonts w:ascii="Calibri" w:hAnsi="Calibri"/>
                <w:b/>
                <w:sz w:val="22"/>
              </w:rPr>
              <w:t>Prepared</w:t>
            </w:r>
          </w:p>
        </w:tc>
        <w:tc>
          <w:tcPr>
            <w:tcW w:type="dxa" w:w="2160"/>
          </w:tcPr>
          <w:p>
            <w:r>
              <w:rPr>
                <w:rFonts w:ascii="Calibri" w:hAnsi="Calibri"/>
                <w:sz w:val="22"/>
              </w:rPr>
              <w:t>July 28, 2026</w:t>
            </w:r>
          </w:p>
        </w:tc>
      </w:tr>
      <w:tr>
        <w:tc>
          <w:tcPr>
            <w:tcW w:type="dxa" w:w="2160"/>
          </w:tcPr>
          <w:p>
            <w:r>
              <w:rPr>
                <w:rFonts w:ascii="Calibri" w:hAnsi="Calibri"/>
                <w:b/>
                <w:sz w:val="22"/>
              </w:rPr>
              <w:t>Fiscal Period</w:t>
            </w:r>
          </w:p>
        </w:tc>
        <w:tc>
          <w:tcPr>
            <w:tcW w:type="dxa" w:w="2160"/>
          </w:tcPr>
          <w:p>
            <w:r>
              <w:rPr>
                <w:rFonts w:ascii="Calibri" w:hAnsi="Calibri"/>
                <w:sz w:val="22"/>
              </w:rPr>
              <w:t>FY2026 Q4 (Quarter ending June 30, 2026)</w:t>
            </w:r>
          </w:p>
        </w:tc>
        <w:tc>
          <w:tcPr>
            <w:tcW w:type="dxa" w:w="2160"/>
          </w:tcPr>
          <w:p>
            <w:r>
              <w:rPr>
                <w:rFonts w:ascii="Calibri" w:hAnsi="Calibri"/>
                <w:b/>
                <w:sz w:val="22"/>
              </w:rPr>
              <w:t>Sector ETF</w:t>
            </w:r>
          </w:p>
        </w:tc>
        <w:tc>
          <w:tcPr>
            <w:tcW w:type="dxa" w:w="2160"/>
          </w:tcPr>
          <w:p>
            <w:r>
              <w:rPr>
                <w:rFonts w:ascii="Calibri" w:hAnsi="Calibri"/>
                <w:sz w:val="22"/>
              </w:rPr>
              <w:t>IGV (iShares Expanded Tech-Software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constructive — consensus is a manageable bar after post-Q3 estimate resets, and the biggest swing factor is whether </w:t>
      </w:r>
      <w:r>
        <w:rPr>
          <w:rFonts w:ascii="Calibri" w:hAnsi="Calibri"/>
          <w:b/>
          <w:color w:val="525866"/>
          <w:sz w:val="22"/>
        </w:rPr>
        <w:t>Azure growth can sustain 39–40% CC in Q4</w:t>
      </w:r>
      <w:r>
        <w:rPr>
          <w:rFonts w:ascii="Calibri" w:hAnsi="Calibri"/>
          <w:color w:val="525866"/>
          <w:sz w:val="22"/>
        </w:rPr>
        <w:t xml:space="preserve"> against a tough prior-year comparable while CapEx guidance does not materially exceed the ~$40B already telegraphed.</w:t>
      </w:r>
    </w:p>
    <w:p>
      <w:r>
        <w:rPr>
          <w:rFonts w:ascii="Calibri" w:hAnsi="Calibri"/>
          <w:color w:val="525866"/>
          <w:sz w:val="22"/>
        </w:rPr>
        <w:t xml:space="preserve">Heading into MSFT's FY26 Q4 print, the setup is cautiously constructive. The bar has been reset lower since the Q3 report — consensus sits at $87.7B in revenue and $4.26 in operating EPS, both within the guided range management provided on April 29 — meaning the company needs to execute in-line or modestly above to satisfy the market. Management's tone on the April call was notably confident: Amy Hood guided Azure CC growth of 39–40% for Q4 against a strong prior-year comparable, flagged modest acceleration in H2 CY2026, and committed to double-digit revenue and operating income growth in FY27, all of which anchored estimates. </w:t>
      </w:r>
    </w:p>
    <w:p>
      <w:r>
        <w:rPr>
          <w:rFonts w:ascii="Calibri" w:hAnsi="Calibri"/>
          <w:color w:val="525866"/>
          <w:sz w:val="22"/>
        </w:rPr>
        <w:t xml:space="preserve">Estimate revisions since the Q3 print have been essentially flat — the FY26 operating EPS consensus moved from $16.85 to $16.93, and Q4 revenue consensus is nearly unchanged at $87.7B — suggesting the Street is largely tracking guidance rather than diverging from it, which limits both upside surprise and downside risk from revision dynamics. The stock has underperformed meaningfully since last earnings (down ~7% vs. IGV roughly flat and SPY up ~4%), driven almost entirely by </w:t>
      </w:r>
    </w:p>
    <w:p>
      <w:r>
        <w:rPr>
          <w:rFonts w:ascii="Calibri" w:hAnsi="Calibri"/>
          <w:b/>
          <w:color w:val="525866"/>
          <w:sz w:val="22"/>
        </w:rPr>
        <w:t>multiple compression</w:t>
      </w:r>
      <w:r>
        <w:rPr>
          <w:rFonts w:ascii="Calibri" w:hAnsi="Calibri"/>
          <w:color w:val="525866"/>
          <w:sz w:val="22"/>
        </w:rPr>
        <w:t xml:space="preserve"> (NTM P/E contracted from ~22.6x to ~19.7x) rather than estimate cuts, leaving the stock at a more attractive entry point but also reflecting persistent investor skepticism about CapEx ROI. The single biggest wildcard is </w:t>
      </w:r>
    </w:p>
    <w:p>
      <w:r>
        <w:rPr>
          <w:rFonts w:ascii="Calibri" w:hAnsi="Calibri"/>
          <w:b/>
          <w:color w:val="525866"/>
          <w:sz w:val="22"/>
        </w:rPr>
        <w:t>Q4 CapEx guidance</w:t>
      </w:r>
      <w:r>
        <w:rPr>
          <w:rFonts w:ascii="Calibri" w:hAnsi="Calibri"/>
          <w:color w:val="525866"/>
          <w:sz w:val="22"/>
        </w:rPr>
        <w:t>: management already flagged &gt;$40B for Q4 (including ~$5B from higher component pricing), and any upward revision beyond that level — or a further escalation in the CY2026 $190B total — risks a negative stock reaction regardless of the revenue beat, as the market remains hyper-focused on the gap between infrastructure spend and Azure revenue growth.</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all key metrics are within or just above the guided range. </w:t>
      </w:r>
    </w:p>
    <w:p>
      <w:r>
        <w:rPr>
          <w:rFonts w:ascii="Calibri" w:hAnsi="Calibri"/>
          <w:b/>
          <w:color w:val="525866"/>
          <w:sz w:val="22"/>
        </w:rPr>
        <w:t>Azure CC growth</w:t>
      </w:r>
      <w:r>
        <w:rPr>
          <w:rFonts w:ascii="Calibri" w:hAnsi="Calibri"/>
          <w:color w:val="525866"/>
          <w:sz w:val="22"/>
        </w:rPr>
        <w:t xml:space="preserve"> is the primary swing factor; a print at or above 40% would be a clear positive catalyst, while a miss below 39% would likely reprice the stock lower. Microsoft Cloud gross margin (~64% guided) is the secondary watch item given ongoing AI infrastructure cost pressure.</w:t>
      </w:r>
    </w:p>
    <w:p>
      <w:pPr>
        <w:pStyle w:val="Heading3"/>
      </w:pPr>
      <w:r>
        <w:rPr>
          <w:rFonts w:ascii="Calibri" w:hAnsi="Calibri"/>
          <w:b/>
          <w:color w:val="3B4259"/>
          <w:sz w:val="24"/>
        </w:rPr>
        <w:t>Table 1 — Current Quarter Snapshot (FY26 Q4,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(FY26 Q3)</w:t>
            </w:r>
          </w:p>
        </w:tc>
        <w:tc>
          <w:tcPr>
            <w:tcW w:type="dxa" w:w="1234"/>
            <w:shd w:val="clear" w:color="auto" w:fill="3B4259"/>
          </w:tcPr>
          <w:p>
            <w:r>
              <w:rPr>
                <w:rFonts w:ascii="Calibri" w:hAnsi="Calibri"/>
                <w:b/>
                <w:color w:val="FFFFFF"/>
                <w:sz w:val="22"/>
              </w:rPr>
              <w:t>Prior Year Period (FY25 Q4)</w:t>
            </w:r>
          </w:p>
        </w:tc>
        <w:tc>
          <w:tcPr>
            <w:tcW w:type="dxa" w:w="1234"/>
            <w:shd w:val="clear" w:color="auto" w:fill="3B4259"/>
          </w:tcPr>
          <w:p>
            <w:r>
              <w:rPr>
                <w:rFonts w:ascii="Calibri" w:hAnsi="Calibri"/>
                <w:b/>
                <w:color w:val="FFFFFF"/>
                <w:sz w:val="22"/>
              </w:rPr>
              <w:t>Q4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Q4 Guidance (Last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$82.9B</w:t>
            </w:r>
          </w:p>
        </w:tc>
        <w:tc>
          <w:tcPr>
            <w:tcW w:type="dxa" w:w="1234"/>
          </w:tcPr>
          <w:p>
            <w:r>
              <w:rPr>
                <w:rFonts w:ascii="Calibri" w:hAnsi="Calibri"/>
                <w:sz w:val="22"/>
              </w:rPr>
              <w:t>$76.4B</w:t>
            </w:r>
          </w:p>
        </w:tc>
        <w:tc>
          <w:tcPr>
            <w:tcW w:type="dxa" w:w="1234"/>
          </w:tcPr>
          <w:p>
            <w:r>
              <w:rPr>
                <w:rFonts w:ascii="Calibri" w:hAnsi="Calibri"/>
                <w:sz w:val="22"/>
              </w:rPr>
              <w:t>$87.7B</w:t>
            </w:r>
          </w:p>
        </w:tc>
        <w:tc>
          <w:tcPr>
            <w:tcW w:type="dxa" w:w="1234"/>
          </w:tcPr>
          <w:p>
            <w:r>
              <w:rPr>
                <w:rFonts w:ascii="Calibri" w:hAnsi="Calibri"/>
                <w:sz w:val="22"/>
              </w:rPr>
              <w:t>+14.7% YoY</w:t>
            </w:r>
          </w:p>
        </w:tc>
        <w:tc>
          <w:tcPr>
            <w:tcW w:type="dxa" w:w="1234"/>
          </w:tcPr>
          <w:p>
            <w:r>
              <w:rPr>
                <w:rFonts w:ascii="Calibri" w:hAnsi="Calibri"/>
                <w:sz w:val="22"/>
              </w:rPr>
              <w:t>$86.7B–$87.8B</w:t>
            </w:r>
          </w:p>
        </w:tc>
        <w:tc>
          <w:tcPr>
            <w:tcW w:type="dxa" w:w="1234"/>
          </w:tcPr>
          <w:p>
            <w:r>
              <w:rPr>
                <w:rFonts w:ascii="Calibri" w:hAnsi="Calibri"/>
                <w:sz w:val="22"/>
              </w:rPr>
              <w:t>~Midpoint</w:t>
            </w:r>
          </w:p>
        </w:tc>
      </w:tr>
      <w:tr>
        <w:tc>
          <w:tcPr>
            <w:tcW w:type="dxa" w:w="1234"/>
          </w:tcPr>
          <w:p>
            <w:r>
              <w:rPr>
                <w:rFonts w:ascii="Calibri" w:hAnsi="Calibri"/>
                <w:sz w:val="22"/>
              </w:rPr>
              <w:t>Azure CC Growth (%)</w:t>
            </w:r>
          </w:p>
        </w:tc>
        <w:tc>
          <w:tcPr>
            <w:tcW w:type="dxa" w:w="1234"/>
          </w:tcPr>
          <w:p>
            <w:r>
              <w:rPr>
                <w:rFonts w:ascii="Calibri" w:hAnsi="Calibri"/>
                <w:sz w:val="22"/>
              </w:rPr>
              <w:t>39%</w:t>
            </w:r>
          </w:p>
        </w:tc>
        <w:tc>
          <w:tcPr>
            <w:tcW w:type="dxa" w:w="1234"/>
          </w:tcPr>
          <w:p>
            <w:r>
              <w:rPr>
                <w:rFonts w:ascii="Calibri" w:hAnsi="Calibri"/>
                <w:sz w:val="22"/>
              </w:rPr>
              <w:t>39%</w:t>
            </w:r>
          </w:p>
        </w:tc>
        <w:tc>
          <w:tcPr>
            <w:tcW w:type="dxa" w:w="1234"/>
          </w:tcPr>
          <w:p>
            <w:r>
              <w:rPr>
                <w:rFonts w:ascii="Calibri" w:hAnsi="Calibri"/>
                <w:sz w:val="22"/>
              </w:rPr>
              <w:t>39.7%</w:t>
            </w:r>
          </w:p>
        </w:tc>
        <w:tc>
          <w:tcPr>
            <w:tcW w:type="dxa" w:w="1234"/>
          </w:tcPr>
          <w:p>
            <w:r>
              <w:rPr>
                <w:rFonts w:ascii="Calibri" w:hAnsi="Calibri"/>
                <w:sz w:val="22"/>
              </w:rPr>
              <w:t>Flat YoY</w:t>
            </w:r>
          </w:p>
        </w:tc>
        <w:tc>
          <w:tcPr>
            <w:tcW w:type="dxa" w:w="1234"/>
          </w:tcPr>
          <w:p>
            <w:r>
              <w:rPr>
                <w:rFonts w:ascii="Calibri" w:hAnsi="Calibri"/>
                <w:sz w:val="22"/>
              </w:rPr>
              <w:t>39%–40%</w:t>
            </w:r>
          </w:p>
        </w:tc>
        <w:tc>
          <w:tcPr>
            <w:tcW w:type="dxa" w:w="1234"/>
          </w:tcPr>
          <w:p>
            <w:r>
              <w:rPr>
                <w:rFonts w:ascii="Calibri" w:hAnsi="Calibri"/>
                <w:sz w:val="22"/>
              </w:rPr>
              <w:t>~Midpoint</w:t>
            </w:r>
          </w:p>
        </w:tc>
      </w:tr>
      <w:tr>
        <w:tc>
          <w:tcPr>
            <w:tcW w:type="dxa" w:w="1234"/>
          </w:tcPr>
          <w:p>
            <w:r>
              <w:rPr>
                <w:rFonts w:ascii="Calibri" w:hAnsi="Calibri"/>
                <w:sz w:val="22"/>
              </w:rPr>
              <w:t>Operating EPS (Diluted)</w:t>
            </w:r>
          </w:p>
        </w:tc>
        <w:tc>
          <w:tcPr>
            <w:tcW w:type="dxa" w:w="1234"/>
          </w:tcPr>
          <w:p>
            <w:r>
              <w:rPr>
                <w:rFonts w:ascii="Calibri" w:hAnsi="Calibri"/>
                <w:sz w:val="22"/>
              </w:rPr>
              <w:t>$4.27</w:t>
            </w:r>
          </w:p>
        </w:tc>
        <w:tc>
          <w:tcPr>
            <w:tcW w:type="dxa" w:w="1234"/>
          </w:tcPr>
          <w:p>
            <w:r>
              <w:rPr>
                <w:rFonts w:ascii="Calibri" w:hAnsi="Calibri"/>
                <w:sz w:val="22"/>
              </w:rPr>
              <w:t>$3.65</w:t>
            </w:r>
          </w:p>
        </w:tc>
        <w:tc>
          <w:tcPr>
            <w:tcW w:type="dxa" w:w="1234"/>
          </w:tcPr>
          <w:p>
            <w:r>
              <w:rPr>
                <w:rFonts w:ascii="Calibri" w:hAnsi="Calibri"/>
                <w:sz w:val="22"/>
              </w:rPr>
              <w:t>$4.26</w:t>
            </w:r>
          </w:p>
        </w:tc>
        <w:tc>
          <w:tcPr>
            <w:tcW w:type="dxa" w:w="1234"/>
          </w:tcPr>
          <w:p>
            <w:r>
              <w:rPr>
                <w:rFonts w:ascii="Calibri" w:hAnsi="Calibri"/>
                <w:sz w:val="22"/>
              </w:rPr>
              <w:t>+16.7% YoY</w:t>
            </w:r>
          </w:p>
        </w:tc>
        <w:tc>
          <w:tcPr>
            <w:tcW w:type="dxa" w:w="1234"/>
          </w:tcPr>
          <w:p>
            <w:r>
              <w:rPr>
                <w:rFonts w:ascii="Calibri" w:hAnsi="Calibri"/>
                <w:sz w:val="22"/>
              </w:rPr>
              <w:t>N/A (implied by segment guides)</w:t>
            </w:r>
          </w:p>
        </w:tc>
        <w:tc>
          <w:tcPr>
            <w:tcW w:type="dxa" w:w="1234"/>
          </w:tcPr>
          <w:p>
            <w:r>
              <w:rPr>
                <w:rFonts w:ascii="Calibri" w:hAnsi="Calibri"/>
                <w:sz w:val="22"/>
              </w:rPr>
              <w:t>N/A</w:t>
            </w:r>
          </w:p>
        </w:tc>
      </w:tr>
      <w:tr>
        <w:tc>
          <w:tcPr>
            <w:tcW w:type="dxa" w:w="1234"/>
          </w:tcPr>
          <w:p>
            <w:r>
              <w:rPr>
                <w:rFonts w:ascii="Calibri" w:hAnsi="Calibri"/>
                <w:sz w:val="22"/>
              </w:rPr>
              <w:t>M365 Commercial Cloud CC Growth (%)</w:t>
            </w:r>
          </w:p>
        </w:tc>
        <w:tc>
          <w:tcPr>
            <w:tcW w:type="dxa" w:w="1234"/>
          </w:tcPr>
          <w:p>
            <w:r>
              <w:rPr>
                <w:rFonts w:ascii="Calibri" w:hAnsi="Calibri"/>
                <w:sz w:val="22"/>
              </w:rPr>
              <w:t>15%</w:t>
            </w:r>
          </w:p>
        </w:tc>
        <w:tc>
          <w:tcPr>
            <w:tcW w:type="dxa" w:w="1234"/>
          </w:tcPr>
          <w:p>
            <w:r>
              <w:rPr>
                <w:rFonts w:ascii="Calibri" w:hAnsi="Calibri"/>
                <w:sz w:val="22"/>
              </w:rPr>
              <w:t>16%</w:t>
            </w:r>
          </w:p>
        </w:tc>
        <w:tc>
          <w:tcPr>
            <w:tcW w:type="dxa" w:w="1234"/>
          </w:tcPr>
          <w:p>
            <w:r>
              <w:rPr>
                <w:rFonts w:ascii="Calibri" w:hAnsi="Calibri"/>
                <w:sz w:val="22"/>
              </w:rPr>
              <w:t>13.8%</w:t>
            </w:r>
          </w:p>
        </w:tc>
        <w:tc>
          <w:tcPr>
            <w:tcW w:type="dxa" w:w="1234"/>
          </w:tcPr>
          <w:p>
            <w:r>
              <w:rPr>
                <w:rFonts w:ascii="Calibri" w:hAnsi="Calibri"/>
                <w:sz w:val="22"/>
              </w:rPr>
              <w:t>-2 pts YoY (reported basis)</w:t>
            </w:r>
          </w:p>
        </w:tc>
        <w:tc>
          <w:tcPr>
            <w:tcW w:type="dxa" w:w="1234"/>
          </w:tcPr>
          <w:p>
            <w:r>
              <w:rPr>
                <w:rFonts w:ascii="Calibri" w:hAnsi="Calibri"/>
                <w:sz w:val="22"/>
              </w:rPr>
              <w:t>13%–14% CC (reported); 15%–16% normalized</w:t>
            </w:r>
          </w:p>
        </w:tc>
        <w:tc>
          <w:tcPr>
            <w:tcW w:type="dxa" w:w="1234"/>
          </w:tcPr>
          <w:p>
            <w:r>
              <w:rPr>
                <w:rFonts w:ascii="Calibri" w:hAnsi="Calibri"/>
                <w:sz w:val="22"/>
              </w:rPr>
              <w:t>~Midpoint</w:t>
            </w:r>
          </w:p>
        </w:tc>
      </w:tr>
      <w:tr>
        <w:tc>
          <w:tcPr>
            <w:tcW w:type="dxa" w:w="1234"/>
          </w:tcPr>
          <w:p>
            <w:r>
              <w:rPr>
                <w:rFonts w:ascii="Calibri" w:hAnsi="Calibri"/>
                <w:sz w:val="22"/>
              </w:rPr>
              <w:t>Microsoft Cloud Gross Margin (%)</w:t>
            </w:r>
          </w:p>
        </w:tc>
        <w:tc>
          <w:tcPr>
            <w:tcW w:type="dxa" w:w="1234"/>
          </w:tcPr>
          <w:p>
            <w:r>
              <w:rPr>
                <w:rFonts w:ascii="Calibri" w:hAnsi="Calibri"/>
                <w:sz w:val="22"/>
              </w:rPr>
              <w:t>64.5%</w:t>
            </w:r>
          </w:p>
        </w:tc>
        <w:tc>
          <w:tcPr>
            <w:tcW w:type="dxa" w:w="1234"/>
          </w:tcPr>
          <w:p>
            <w:r>
              <w:rPr>
                <w:rFonts w:ascii="Calibri" w:hAnsi="Calibri"/>
                <w:sz w:val="22"/>
              </w:rPr>
              <w:t>65.1%</w:t>
            </w:r>
          </w:p>
        </w:tc>
        <w:tc>
          <w:tcPr>
            <w:tcW w:type="dxa" w:w="1234"/>
          </w:tcPr>
          <w:p>
            <w:r>
              <w:rPr>
                <w:rFonts w:ascii="Calibri" w:hAnsi="Calibri"/>
                <w:sz w:val="22"/>
              </w:rPr>
              <w:t>63.2%</w:t>
            </w:r>
          </w:p>
        </w:tc>
        <w:tc>
          <w:tcPr>
            <w:tcW w:type="dxa" w:w="1234"/>
          </w:tcPr>
          <w:p>
            <w:r>
              <w:rPr>
                <w:rFonts w:ascii="Calibri" w:hAnsi="Calibri"/>
                <w:sz w:val="22"/>
              </w:rPr>
              <w:t>-1.9 pts YoY</w:t>
            </w:r>
          </w:p>
        </w:tc>
        <w:tc>
          <w:tcPr>
            <w:tcW w:type="dxa" w:w="1234"/>
          </w:tcPr>
          <w:p>
            <w:r>
              <w:rPr>
                <w:rFonts w:ascii="Calibri" w:hAnsi="Calibri"/>
                <w:sz w:val="22"/>
              </w:rPr>
              <w:t>~64%</w:t>
            </w:r>
          </w:p>
        </w:tc>
        <w:tc>
          <w:tcPr>
            <w:tcW w:type="dxa" w:w="1234"/>
          </w:tcPr>
          <w:p>
            <w:r>
              <w:rPr>
                <w:rFonts w:ascii="Calibri" w:hAnsi="Calibri"/>
                <w:sz w:val="22"/>
              </w:rPr>
              <w:t>~Midpoint</w:t>
            </w:r>
          </w:p>
        </w:tc>
      </w:tr>
      <w:tr>
        <w:tc>
          <w:tcPr>
            <w:tcW w:type="dxa" w:w="1234"/>
          </w:tcPr>
          <w:p>
            <w:r>
              <w:rPr>
                <w:rFonts w:ascii="Calibri" w:hAnsi="Calibri"/>
                <w:sz w:val="22"/>
              </w:rPr>
              <w:t>CapEx incl. Leases ($B)</w:t>
            </w:r>
          </w:p>
        </w:tc>
        <w:tc>
          <w:tcPr>
            <w:tcW w:type="dxa" w:w="1234"/>
          </w:tcPr>
          <w:p>
            <w:r>
              <w:rPr>
                <w:rFonts w:ascii="Calibri" w:hAnsi="Calibri"/>
                <w:sz w:val="22"/>
              </w:rPr>
              <w:t>$31.9B</w:t>
            </w:r>
          </w:p>
        </w:tc>
        <w:tc>
          <w:tcPr>
            <w:tcW w:type="dxa" w:w="1234"/>
          </w:tcPr>
          <w:p>
            <w:r>
              <w:rPr>
                <w:rFonts w:ascii="Calibri" w:hAnsi="Calibri"/>
                <w:sz w:val="22"/>
              </w:rPr>
              <w:t>$24.2B</w:t>
            </w:r>
          </w:p>
        </w:tc>
        <w:tc>
          <w:tcPr>
            <w:tcW w:type="dxa" w:w="1234"/>
          </w:tcPr>
          <w:p>
            <w:r>
              <w:rPr>
                <w:rFonts w:ascii="Calibri" w:hAnsi="Calibri"/>
                <w:sz w:val="22"/>
              </w:rPr>
              <w:t>$42.4B</w:t>
            </w:r>
          </w:p>
        </w:tc>
        <w:tc>
          <w:tcPr>
            <w:tcW w:type="dxa" w:w="1234"/>
          </w:tcPr>
          <w:p>
            <w:r>
              <w:rPr>
                <w:rFonts w:ascii="Calibri" w:hAnsi="Calibri"/>
                <w:sz w:val="22"/>
              </w:rPr>
              <w:t>+75% YoY</w:t>
            </w:r>
          </w:p>
        </w:tc>
        <w:tc>
          <w:tcPr>
            <w:tcW w:type="dxa" w:w="1234"/>
          </w:tcPr>
          <w:p>
            <w:r>
              <w:rPr>
                <w:rFonts w:ascii="Calibri" w:hAnsi="Calibri"/>
                <w:sz w:val="22"/>
              </w:rPr>
              <w:t>&gt;$40B</w:t>
            </w:r>
          </w:p>
        </w:tc>
        <w:tc>
          <w:tcPr>
            <w:tcW w:type="dxa" w:w="1234"/>
          </w:tcPr>
          <w:p>
            <w:r>
              <w:rPr>
                <w:rFonts w:ascii="Calibri" w:hAnsi="Calibri"/>
                <w:sz w:val="22"/>
              </w:rPr>
              <w:t>~+6% above floor</w:t>
            </w:r>
          </w:p>
        </w:tc>
      </w:tr>
    </w:tbl>
    <w:p>
      <w:r>
        <w:rPr>
          <w:rFonts w:ascii="Calibri" w:hAnsi="Calibri"/>
          <w:i/>
          <w:color w:val="525866"/>
          <w:sz w:val="22"/>
        </w:rPr>
        <w:t>Sources: Visible Alpha Consensus and Actuals Data</w:t>
      </w:r>
      <w:r>
        <w:rPr>
          <w:rFonts w:ascii="Calibri" w:hAnsi="Calibri"/>
          <w:color w:val="525866"/>
          <w:sz w:val="22"/>
        </w:rPr>
        <w:t xml:space="preserve"> — Total Revenue, Operating EPS, Azure CC Growth, M365 Commercial Cloud CC Growth, CapEx incl. Leases, Microsoft Cloud Gross Margin (Service &amp; Other Gross Margin %). Guidance from MSFT Q3 FY26 Earnings Call transcript (April 29,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KPI 1: Azure CC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FY25 Q1 (Sep-24)</w:t>
            </w:r>
          </w:p>
        </w:tc>
        <w:tc>
          <w:tcPr>
            <w:tcW w:type="dxa" w:w="1728"/>
          </w:tcPr>
          <w:p>
            <w:r>
              <w:rPr>
                <w:rFonts w:ascii="Calibri" w:hAnsi="Calibri"/>
                <w:sz w:val="22"/>
              </w:rPr>
              <w:t>34%</w:t>
            </w:r>
          </w:p>
        </w:tc>
        <w:tc>
          <w:tcPr>
            <w:tcW w:type="dxa" w:w="1728"/>
          </w:tcPr>
          <w:p>
            <w:r>
              <w:rPr>
                <w:rFonts w:ascii="Calibri" w:hAnsi="Calibri"/>
                <w:sz w:val="22"/>
              </w:rPr>
              <w:t>30.3%</w:t>
            </w:r>
          </w:p>
        </w:tc>
        <w:tc>
          <w:tcPr>
            <w:tcW w:type="dxa" w:w="1728"/>
          </w:tcPr>
          <w:p>
            <w:r>
              <w:rPr>
                <w:rFonts w:ascii="Calibri" w:hAnsi="Calibri"/>
                <w:b/>
                <w:color w:val="30A46C"/>
                <w:sz w:val="22"/>
              </w:rPr>
              <w:t>+3.7 pts</w:t>
            </w:r>
          </w:p>
        </w:tc>
        <w:tc>
          <w:tcPr>
            <w:tcW w:type="dxa" w:w="1728"/>
          </w:tcPr>
          <w:p>
            <w:r>
              <w:rPr>
                <w:rFonts w:ascii="Calibri" w:hAnsi="Calibri"/>
                <w:sz w:val="22"/>
              </w:rPr>
              <w:t>Beat</w:t>
            </w:r>
          </w:p>
        </w:tc>
      </w:tr>
      <w:tr>
        <w:tc>
          <w:tcPr>
            <w:tcW w:type="dxa" w:w="1728"/>
          </w:tcPr>
          <w:p>
            <w:r>
              <w:rPr>
                <w:rFonts w:ascii="Calibri" w:hAnsi="Calibri"/>
                <w:sz w:val="22"/>
              </w:rPr>
              <w:t>FY25 Q2 (Dec-24)</w:t>
            </w:r>
          </w:p>
        </w:tc>
        <w:tc>
          <w:tcPr>
            <w:tcW w:type="dxa" w:w="1728"/>
          </w:tcPr>
          <w:p>
            <w:r>
              <w:rPr>
                <w:rFonts w:ascii="Calibri" w:hAnsi="Calibri"/>
                <w:sz w:val="22"/>
              </w:rPr>
              <w:t>31%</w:t>
            </w:r>
          </w:p>
        </w:tc>
        <w:tc>
          <w:tcPr>
            <w:tcW w:type="dxa" w:w="1728"/>
          </w:tcPr>
          <w:p>
            <w:r>
              <w:rPr>
                <w:rFonts w:ascii="Calibri" w:hAnsi="Calibri"/>
                <w:sz w:val="22"/>
              </w:rPr>
              <w:t>31.9%</w:t>
            </w:r>
          </w:p>
        </w:tc>
        <w:tc>
          <w:tcPr>
            <w:tcW w:type="dxa" w:w="1728"/>
          </w:tcPr>
          <w:p>
            <w:r>
              <w:rPr>
                <w:rFonts w:ascii="Calibri" w:hAnsi="Calibri"/>
                <w:b/>
                <w:color w:val="E5484D"/>
                <w:sz w:val="22"/>
              </w:rPr>
              <w:t>-0.9 pts</w:t>
            </w:r>
          </w:p>
        </w:tc>
        <w:tc>
          <w:tcPr>
            <w:tcW w:type="dxa" w:w="1728"/>
          </w:tcPr>
          <w:p>
            <w:r>
              <w:rPr>
                <w:rFonts w:ascii="Calibri" w:hAnsi="Calibri"/>
                <w:sz w:val="22"/>
              </w:rPr>
              <w:t>Miss</w:t>
            </w:r>
          </w:p>
        </w:tc>
      </w:tr>
      <w:tr>
        <w:tc>
          <w:tcPr>
            <w:tcW w:type="dxa" w:w="1728"/>
          </w:tcPr>
          <w:p>
            <w:r>
              <w:rPr>
                <w:rFonts w:ascii="Calibri" w:hAnsi="Calibri"/>
                <w:sz w:val="22"/>
              </w:rPr>
              <w:t>FY25 Q3 (Mar-25)</w:t>
            </w:r>
          </w:p>
        </w:tc>
        <w:tc>
          <w:tcPr>
            <w:tcW w:type="dxa" w:w="1728"/>
          </w:tcPr>
          <w:p>
            <w:r>
              <w:rPr>
                <w:rFonts w:ascii="Calibri" w:hAnsi="Calibri"/>
                <w:sz w:val="22"/>
              </w:rPr>
              <w:t>35%</w:t>
            </w:r>
          </w:p>
        </w:tc>
        <w:tc>
          <w:tcPr>
            <w:tcW w:type="dxa" w:w="1728"/>
          </w:tcPr>
          <w:p>
            <w:r>
              <w:rPr>
                <w:rFonts w:ascii="Calibri" w:hAnsi="Calibri"/>
                <w:sz w:val="22"/>
              </w:rPr>
              <w:t>31.5%</w:t>
            </w:r>
          </w:p>
        </w:tc>
        <w:tc>
          <w:tcPr>
            <w:tcW w:type="dxa" w:w="1728"/>
          </w:tcPr>
          <w:p>
            <w:r>
              <w:rPr>
                <w:rFonts w:ascii="Calibri" w:hAnsi="Calibri"/>
                <w:b/>
                <w:color w:val="30A46C"/>
                <w:sz w:val="22"/>
              </w:rPr>
              <w:t>+3.5 pts</w:t>
            </w:r>
          </w:p>
        </w:tc>
        <w:tc>
          <w:tcPr>
            <w:tcW w:type="dxa" w:w="1728"/>
          </w:tcPr>
          <w:p>
            <w:r>
              <w:rPr>
                <w:rFonts w:ascii="Calibri" w:hAnsi="Calibri"/>
                <w:sz w:val="22"/>
              </w:rPr>
              <w:t>Beat</w:t>
            </w:r>
          </w:p>
        </w:tc>
      </w:tr>
      <w:tr>
        <w:tc>
          <w:tcPr>
            <w:tcW w:type="dxa" w:w="1728"/>
          </w:tcPr>
          <w:p>
            <w:r>
              <w:rPr>
                <w:rFonts w:ascii="Calibri" w:hAnsi="Calibri"/>
                <w:sz w:val="22"/>
              </w:rPr>
              <w:t>FY25 Q4 (Jun-25)</w:t>
            </w:r>
          </w:p>
        </w:tc>
        <w:tc>
          <w:tcPr>
            <w:tcW w:type="dxa" w:w="1728"/>
          </w:tcPr>
          <w:p>
            <w:r>
              <w:rPr>
                <w:rFonts w:ascii="Calibri" w:hAnsi="Calibri"/>
                <w:sz w:val="22"/>
              </w:rPr>
              <w:t>39%</w:t>
            </w:r>
          </w:p>
        </w:tc>
        <w:tc>
          <w:tcPr>
            <w:tcW w:type="dxa" w:w="1728"/>
          </w:tcPr>
          <w:p>
            <w:r>
              <w:rPr>
                <w:rFonts w:ascii="Calibri" w:hAnsi="Calibri"/>
                <w:sz w:val="22"/>
              </w:rPr>
              <w:t>34.5%</w:t>
            </w:r>
          </w:p>
        </w:tc>
        <w:tc>
          <w:tcPr>
            <w:tcW w:type="dxa" w:w="1728"/>
          </w:tcPr>
          <w:p>
            <w:r>
              <w:rPr>
                <w:rFonts w:ascii="Calibri" w:hAnsi="Calibri"/>
                <w:b/>
                <w:color w:val="30A46C"/>
                <w:sz w:val="22"/>
              </w:rPr>
              <w:t>+4.5 pts</w:t>
            </w:r>
          </w:p>
        </w:tc>
        <w:tc>
          <w:tcPr>
            <w:tcW w:type="dxa" w:w="1728"/>
          </w:tcPr>
          <w:p>
            <w:r>
              <w:rPr>
                <w:rFonts w:ascii="Calibri" w:hAnsi="Calibri"/>
                <w:sz w:val="22"/>
              </w:rPr>
              <w:t>Beat</w:t>
            </w:r>
          </w:p>
        </w:tc>
      </w:tr>
      <w:tr>
        <w:tc>
          <w:tcPr>
            <w:tcW w:type="dxa" w:w="1728"/>
          </w:tcPr>
          <w:p>
            <w:r>
              <w:rPr>
                <w:rFonts w:ascii="Calibri" w:hAnsi="Calibri"/>
                <w:sz w:val="22"/>
              </w:rPr>
              <w:t>FY26 Q1 (Sep-25)</w:t>
            </w:r>
          </w:p>
        </w:tc>
        <w:tc>
          <w:tcPr>
            <w:tcW w:type="dxa" w:w="1728"/>
          </w:tcPr>
          <w:p>
            <w:r>
              <w:rPr>
                <w:rFonts w:ascii="Calibri" w:hAnsi="Calibri"/>
                <w:sz w:val="22"/>
              </w:rPr>
              <w:t>39%</w:t>
            </w:r>
          </w:p>
        </w:tc>
        <w:tc>
          <w:tcPr>
            <w:tcW w:type="dxa" w:w="1728"/>
          </w:tcPr>
          <w:p>
            <w:r>
              <w:rPr>
                <w:rFonts w:ascii="Calibri" w:hAnsi="Calibri"/>
                <w:sz w:val="22"/>
              </w:rPr>
              <w:t>37.6%</w:t>
            </w:r>
          </w:p>
        </w:tc>
        <w:tc>
          <w:tcPr>
            <w:tcW w:type="dxa" w:w="1728"/>
          </w:tcPr>
          <w:p>
            <w:r>
              <w:rPr>
                <w:rFonts w:ascii="Calibri" w:hAnsi="Calibri"/>
                <w:b/>
                <w:color w:val="30A46C"/>
                <w:sz w:val="22"/>
              </w:rPr>
              <w:t>+1.4 pts</w:t>
            </w:r>
          </w:p>
        </w:tc>
        <w:tc>
          <w:tcPr>
            <w:tcW w:type="dxa" w:w="1728"/>
          </w:tcPr>
          <w:p>
            <w:r>
              <w:rPr>
                <w:rFonts w:ascii="Calibri" w:hAnsi="Calibri"/>
                <w:sz w:val="22"/>
              </w:rPr>
              <w:t>Beat</w:t>
            </w:r>
          </w:p>
        </w:tc>
      </w:tr>
      <w:tr>
        <w:tc>
          <w:tcPr>
            <w:tcW w:type="dxa" w:w="1728"/>
          </w:tcPr>
          <w:p>
            <w:r>
              <w:rPr>
                <w:rFonts w:ascii="Calibri" w:hAnsi="Calibri"/>
                <w:sz w:val="22"/>
              </w:rPr>
              <w:t>FY26 Q2 (Dec-25)</w:t>
            </w:r>
          </w:p>
        </w:tc>
        <w:tc>
          <w:tcPr>
            <w:tcW w:type="dxa" w:w="1728"/>
          </w:tcPr>
          <w:p>
            <w:r>
              <w:rPr>
                <w:rFonts w:ascii="Calibri" w:hAnsi="Calibri"/>
                <w:sz w:val="22"/>
              </w:rPr>
              <w:t>38%</w:t>
            </w:r>
          </w:p>
        </w:tc>
        <w:tc>
          <w:tcPr>
            <w:tcW w:type="dxa" w:w="1728"/>
          </w:tcPr>
          <w:p>
            <w:r>
              <w:rPr>
                <w:rFonts w:ascii="Calibri" w:hAnsi="Calibri"/>
                <w:sz w:val="22"/>
              </w:rPr>
              <w:t>37.4%</w:t>
            </w:r>
          </w:p>
        </w:tc>
        <w:tc>
          <w:tcPr>
            <w:tcW w:type="dxa" w:w="1728"/>
          </w:tcPr>
          <w:p>
            <w:r>
              <w:rPr>
                <w:rFonts w:ascii="Calibri" w:hAnsi="Calibri"/>
                <w:b/>
                <w:color w:val="30A46C"/>
                <w:sz w:val="22"/>
              </w:rPr>
              <w:t>+0.6 pts</w:t>
            </w:r>
          </w:p>
        </w:tc>
        <w:tc>
          <w:tcPr>
            <w:tcW w:type="dxa" w:w="1728"/>
          </w:tcPr>
          <w:p>
            <w:r>
              <w:rPr>
                <w:rFonts w:ascii="Calibri" w:hAnsi="Calibri"/>
                <w:sz w:val="22"/>
              </w:rPr>
              <w:t>Beat</w:t>
            </w:r>
          </w:p>
        </w:tc>
      </w:tr>
      <w:tr>
        <w:tc>
          <w:tcPr>
            <w:tcW w:type="dxa" w:w="1728"/>
          </w:tcPr>
          <w:p>
            <w:r>
              <w:rPr>
                <w:rFonts w:ascii="Calibri" w:hAnsi="Calibri"/>
                <w:sz w:val="22"/>
              </w:rPr>
              <w:t>FY26 Q3 (Mar-26)</w:t>
            </w:r>
          </w:p>
        </w:tc>
        <w:tc>
          <w:tcPr>
            <w:tcW w:type="dxa" w:w="1728"/>
          </w:tcPr>
          <w:p>
            <w:r>
              <w:rPr>
                <w:rFonts w:ascii="Calibri" w:hAnsi="Calibri"/>
                <w:sz w:val="22"/>
              </w:rPr>
              <w:t>39%</w:t>
            </w:r>
          </w:p>
        </w:tc>
        <w:tc>
          <w:tcPr>
            <w:tcW w:type="dxa" w:w="1728"/>
          </w:tcPr>
          <w:p>
            <w:r>
              <w:rPr>
                <w:rFonts w:ascii="Calibri" w:hAnsi="Calibri"/>
                <w:sz w:val="22"/>
              </w:rPr>
              <w:t>37.7%</w:t>
            </w:r>
          </w:p>
        </w:tc>
        <w:tc>
          <w:tcPr>
            <w:tcW w:type="dxa" w:w="1728"/>
          </w:tcPr>
          <w:p>
            <w:r>
              <w:rPr>
                <w:rFonts w:ascii="Calibri" w:hAnsi="Calibri"/>
                <w:b/>
                <w:color w:val="30A46C"/>
                <w:sz w:val="22"/>
              </w:rPr>
              <w:t>+1.3 pts</w:t>
            </w:r>
          </w:p>
        </w:tc>
        <w:tc>
          <w:tcPr>
            <w:tcW w:type="dxa" w:w="1728"/>
          </w:tcPr>
          <w:p>
            <w:r>
              <w:rPr>
                <w:rFonts w:ascii="Calibri" w:hAnsi="Calibri"/>
                <w:sz w:val="22"/>
              </w:rPr>
              <w:t>Beat</w:t>
            </w:r>
          </w:p>
        </w:tc>
      </w:tr>
      <w:tr>
        <w:tc>
          <w:tcPr>
            <w:tcW w:type="dxa" w:w="1728"/>
          </w:tcPr>
          <w:p>
            <w:r>
              <w:rPr>
                <w:rFonts w:ascii="Calibri" w:hAnsi="Calibri"/>
                <w:sz w:val="22"/>
              </w:rPr>
              <w:t>FY26 Q4 (Jun-26) — Est.</w:t>
            </w:r>
          </w:p>
        </w:tc>
        <w:tc>
          <w:tcPr>
            <w:tcW w:type="dxa" w:w="1728"/>
          </w:tcPr>
          <w:p>
            <w:r>
              <w:rPr>
                <w:rFonts w:ascii="Calibri" w:hAnsi="Calibri"/>
                <w:sz w:val="22"/>
              </w:rPr>
              <w:t>—</w:t>
            </w:r>
          </w:p>
        </w:tc>
        <w:tc>
          <w:tcPr>
            <w:tcW w:type="dxa" w:w="1728"/>
          </w:tcPr>
          <w:p>
            <w:r>
              <w:rPr>
                <w:rFonts w:ascii="Calibri" w:hAnsi="Calibri"/>
                <w:sz w:val="22"/>
              </w:rPr>
              <w:t>39.7%</w:t>
            </w:r>
          </w:p>
        </w:tc>
        <w:tc>
          <w:tcPr>
            <w:tcW w:type="dxa" w:w="1728"/>
          </w:tcPr>
          <w:p>
            <w:r>
              <w:rPr>
                <w:rFonts w:ascii="Calibri" w:hAnsi="Calibri"/>
                <w:sz w:val="22"/>
              </w:rPr>
              <w:t>—</w:t>
            </w:r>
          </w:p>
        </w:tc>
        <w:tc>
          <w:tcPr>
            <w:tcW w:type="dxa" w:w="1728"/>
          </w:tcPr>
          <w:p>
            <w:r>
              <w:rPr>
                <w:rFonts w:ascii="Calibri" w:hAnsi="Calibri"/>
                <w:sz w:val="22"/>
              </w:rPr>
              <w:t>Upcoming</w:t>
            </w:r>
          </w:p>
        </w:tc>
      </w:tr>
    </w:tbl>
    <w:p>
      <w:pPr>
        <w:pStyle w:val="Heading4"/>
      </w:pPr>
      <w:r>
        <w:rPr>
          <w:rFonts w:ascii="Calibri" w:hAnsi="Calibri"/>
          <w:b/>
          <w:color w:val="3B4259"/>
          <w:sz w:val="22"/>
        </w:rPr>
        <w:t>KPI 2: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FY25 Q1 (Sep-24)</w:t>
            </w:r>
          </w:p>
        </w:tc>
        <w:tc>
          <w:tcPr>
            <w:tcW w:type="dxa" w:w="1728"/>
          </w:tcPr>
          <w:p>
            <w:r>
              <w:rPr>
                <w:rFonts w:ascii="Calibri" w:hAnsi="Calibri"/>
                <w:sz w:val="22"/>
              </w:rPr>
              <w:t>$3.37</w:t>
            </w:r>
          </w:p>
        </w:tc>
        <w:tc>
          <w:tcPr>
            <w:tcW w:type="dxa" w:w="1728"/>
          </w:tcPr>
          <w:p>
            <w:r>
              <w:rPr>
                <w:rFonts w:ascii="Calibri" w:hAnsi="Calibri"/>
                <w:sz w:val="22"/>
              </w:rPr>
              <w:t>$3.12</w:t>
            </w:r>
          </w:p>
        </w:tc>
        <w:tc>
          <w:tcPr>
            <w:tcW w:type="dxa" w:w="1728"/>
          </w:tcPr>
          <w:p>
            <w:r>
              <w:rPr>
                <w:rFonts w:ascii="Calibri" w:hAnsi="Calibri"/>
                <w:b/>
                <w:color w:val="30A46C"/>
                <w:sz w:val="22"/>
              </w:rPr>
              <w:t>+8.1%</w:t>
            </w:r>
          </w:p>
        </w:tc>
        <w:tc>
          <w:tcPr>
            <w:tcW w:type="dxa" w:w="1728"/>
          </w:tcPr>
          <w:p>
            <w:r>
              <w:rPr>
                <w:rFonts w:ascii="Calibri" w:hAnsi="Calibri"/>
                <w:sz w:val="22"/>
              </w:rPr>
              <w:t>Beat</w:t>
            </w:r>
          </w:p>
        </w:tc>
      </w:tr>
      <w:tr>
        <w:tc>
          <w:tcPr>
            <w:tcW w:type="dxa" w:w="1728"/>
          </w:tcPr>
          <w:p>
            <w:r>
              <w:rPr>
                <w:rFonts w:ascii="Calibri" w:hAnsi="Calibri"/>
                <w:sz w:val="22"/>
              </w:rPr>
              <w:t>FY25 Q2 (Dec-24)</w:t>
            </w:r>
          </w:p>
        </w:tc>
        <w:tc>
          <w:tcPr>
            <w:tcW w:type="dxa" w:w="1728"/>
          </w:tcPr>
          <w:p>
            <w:r>
              <w:rPr>
                <w:rFonts w:ascii="Calibri" w:hAnsi="Calibri"/>
                <w:sz w:val="22"/>
              </w:rPr>
              <w:t>$3.35</w:t>
            </w:r>
          </w:p>
        </w:tc>
        <w:tc>
          <w:tcPr>
            <w:tcW w:type="dxa" w:w="1728"/>
          </w:tcPr>
          <w:p>
            <w:r>
              <w:rPr>
                <w:rFonts w:ascii="Calibri" w:hAnsi="Calibri"/>
                <w:sz w:val="22"/>
              </w:rPr>
              <w:t>$3.14</w:t>
            </w:r>
          </w:p>
        </w:tc>
        <w:tc>
          <w:tcPr>
            <w:tcW w:type="dxa" w:w="1728"/>
          </w:tcPr>
          <w:p>
            <w:r>
              <w:rPr>
                <w:rFonts w:ascii="Calibri" w:hAnsi="Calibri"/>
                <w:b/>
                <w:color w:val="30A46C"/>
                <w:sz w:val="22"/>
              </w:rPr>
              <w:t>+6.7%</w:t>
            </w:r>
          </w:p>
        </w:tc>
        <w:tc>
          <w:tcPr>
            <w:tcW w:type="dxa" w:w="1728"/>
          </w:tcPr>
          <w:p>
            <w:r>
              <w:rPr>
                <w:rFonts w:ascii="Calibri" w:hAnsi="Calibri"/>
                <w:sz w:val="22"/>
              </w:rPr>
              <w:t>Beat</w:t>
            </w:r>
          </w:p>
        </w:tc>
      </w:tr>
      <w:tr>
        <w:tc>
          <w:tcPr>
            <w:tcW w:type="dxa" w:w="1728"/>
          </w:tcPr>
          <w:p>
            <w:r>
              <w:rPr>
                <w:rFonts w:ascii="Calibri" w:hAnsi="Calibri"/>
                <w:sz w:val="22"/>
              </w:rPr>
              <w:t>FY25 Q3 (Mar-25)</w:t>
            </w:r>
          </w:p>
        </w:tc>
        <w:tc>
          <w:tcPr>
            <w:tcW w:type="dxa" w:w="1728"/>
          </w:tcPr>
          <w:p>
            <w:r>
              <w:rPr>
                <w:rFonts w:ascii="Calibri" w:hAnsi="Calibri"/>
                <w:sz w:val="22"/>
              </w:rPr>
              <w:t>$3.54</w:t>
            </w:r>
          </w:p>
        </w:tc>
        <w:tc>
          <w:tcPr>
            <w:tcW w:type="dxa" w:w="1728"/>
          </w:tcPr>
          <w:p>
            <w:r>
              <w:rPr>
                <w:rFonts w:ascii="Calibri" w:hAnsi="Calibri"/>
                <w:sz w:val="22"/>
              </w:rPr>
              <w:t>$3.24</w:t>
            </w:r>
          </w:p>
        </w:tc>
        <w:tc>
          <w:tcPr>
            <w:tcW w:type="dxa" w:w="1728"/>
          </w:tcPr>
          <w:p>
            <w:r>
              <w:rPr>
                <w:rFonts w:ascii="Calibri" w:hAnsi="Calibri"/>
                <w:b/>
                <w:color w:val="30A46C"/>
                <w:sz w:val="22"/>
              </w:rPr>
              <w:t>+9.3%</w:t>
            </w:r>
          </w:p>
        </w:tc>
        <w:tc>
          <w:tcPr>
            <w:tcW w:type="dxa" w:w="1728"/>
          </w:tcPr>
          <w:p>
            <w:r>
              <w:rPr>
                <w:rFonts w:ascii="Calibri" w:hAnsi="Calibri"/>
                <w:sz w:val="22"/>
              </w:rPr>
              <w:t>Beat</w:t>
            </w:r>
          </w:p>
        </w:tc>
      </w:tr>
      <w:tr>
        <w:tc>
          <w:tcPr>
            <w:tcW w:type="dxa" w:w="1728"/>
          </w:tcPr>
          <w:p>
            <w:r>
              <w:rPr>
                <w:rFonts w:ascii="Calibri" w:hAnsi="Calibri"/>
                <w:sz w:val="22"/>
              </w:rPr>
              <w:t>FY25 Q4 (Jun-25)</w:t>
            </w:r>
          </w:p>
        </w:tc>
        <w:tc>
          <w:tcPr>
            <w:tcW w:type="dxa" w:w="1728"/>
          </w:tcPr>
          <w:p>
            <w:r>
              <w:rPr>
                <w:rFonts w:ascii="Calibri" w:hAnsi="Calibri"/>
                <w:sz w:val="22"/>
              </w:rPr>
              <w:t>$3.65</w:t>
            </w:r>
          </w:p>
        </w:tc>
        <w:tc>
          <w:tcPr>
            <w:tcW w:type="dxa" w:w="1728"/>
          </w:tcPr>
          <w:p>
            <w:r>
              <w:rPr>
                <w:rFonts w:ascii="Calibri" w:hAnsi="Calibri"/>
                <w:sz w:val="22"/>
              </w:rPr>
              <w:t>$3.40</w:t>
            </w:r>
          </w:p>
        </w:tc>
        <w:tc>
          <w:tcPr>
            <w:tcW w:type="dxa" w:w="1728"/>
          </w:tcPr>
          <w:p>
            <w:r>
              <w:rPr>
                <w:rFonts w:ascii="Calibri" w:hAnsi="Calibri"/>
                <w:b/>
                <w:color w:val="30A46C"/>
                <w:sz w:val="22"/>
              </w:rPr>
              <w:t>+7.4%</w:t>
            </w:r>
          </w:p>
        </w:tc>
        <w:tc>
          <w:tcPr>
            <w:tcW w:type="dxa" w:w="1728"/>
          </w:tcPr>
          <w:p>
            <w:r>
              <w:rPr>
                <w:rFonts w:ascii="Calibri" w:hAnsi="Calibri"/>
                <w:sz w:val="22"/>
              </w:rPr>
              <w:t>Beat</w:t>
            </w:r>
          </w:p>
        </w:tc>
      </w:tr>
      <w:tr>
        <w:tc>
          <w:tcPr>
            <w:tcW w:type="dxa" w:w="1728"/>
          </w:tcPr>
          <w:p>
            <w:r>
              <w:rPr>
                <w:rFonts w:ascii="Calibri" w:hAnsi="Calibri"/>
                <w:sz w:val="22"/>
              </w:rPr>
              <w:t>FY26 Q1 (Sep-25)</w:t>
            </w:r>
          </w:p>
        </w:tc>
        <w:tc>
          <w:tcPr>
            <w:tcW w:type="dxa" w:w="1728"/>
          </w:tcPr>
          <w:p>
            <w:r>
              <w:rPr>
                <w:rFonts w:ascii="Calibri" w:hAnsi="Calibri"/>
                <w:sz w:val="22"/>
              </w:rPr>
              <w:t>$4.13</w:t>
            </w:r>
          </w:p>
        </w:tc>
        <w:tc>
          <w:tcPr>
            <w:tcW w:type="dxa" w:w="1728"/>
          </w:tcPr>
          <w:p>
            <w:r>
              <w:rPr>
                <w:rFonts w:ascii="Calibri" w:hAnsi="Calibri"/>
                <w:sz w:val="22"/>
              </w:rPr>
              <w:t>$3.68</w:t>
            </w:r>
          </w:p>
        </w:tc>
        <w:tc>
          <w:tcPr>
            <w:tcW w:type="dxa" w:w="1728"/>
          </w:tcPr>
          <w:p>
            <w:r>
              <w:rPr>
                <w:rFonts w:ascii="Calibri" w:hAnsi="Calibri"/>
                <w:b/>
                <w:color w:val="30A46C"/>
                <w:sz w:val="22"/>
              </w:rPr>
              <w:t>+12.2%</w:t>
            </w:r>
          </w:p>
        </w:tc>
        <w:tc>
          <w:tcPr>
            <w:tcW w:type="dxa" w:w="1728"/>
          </w:tcPr>
          <w:p>
            <w:r>
              <w:rPr>
                <w:rFonts w:ascii="Calibri" w:hAnsi="Calibri"/>
                <w:sz w:val="22"/>
              </w:rPr>
              <w:t>Beat</w:t>
            </w:r>
          </w:p>
        </w:tc>
      </w:tr>
      <w:tr>
        <w:tc>
          <w:tcPr>
            <w:tcW w:type="dxa" w:w="1728"/>
          </w:tcPr>
          <w:p>
            <w:r>
              <w:rPr>
                <w:rFonts w:ascii="Calibri" w:hAnsi="Calibri"/>
                <w:sz w:val="22"/>
              </w:rPr>
              <w:t>FY26 Q2 (Dec-25)</w:t>
            </w:r>
          </w:p>
        </w:tc>
        <w:tc>
          <w:tcPr>
            <w:tcW w:type="dxa" w:w="1728"/>
          </w:tcPr>
          <w:p>
            <w:r>
              <w:rPr>
                <w:rFonts w:ascii="Calibri" w:hAnsi="Calibri"/>
                <w:sz w:val="22"/>
              </w:rPr>
              <w:t>$4.14</w:t>
            </w:r>
          </w:p>
        </w:tc>
        <w:tc>
          <w:tcPr>
            <w:tcW w:type="dxa" w:w="1728"/>
          </w:tcPr>
          <w:p>
            <w:r>
              <w:rPr>
                <w:rFonts w:ascii="Calibri" w:hAnsi="Calibri"/>
                <w:sz w:val="22"/>
              </w:rPr>
              <w:t>$3.95</w:t>
            </w:r>
          </w:p>
        </w:tc>
        <w:tc>
          <w:tcPr>
            <w:tcW w:type="dxa" w:w="1728"/>
          </w:tcPr>
          <w:p>
            <w:r>
              <w:rPr>
                <w:rFonts w:ascii="Calibri" w:hAnsi="Calibri"/>
                <w:b/>
                <w:color w:val="30A46C"/>
                <w:sz w:val="22"/>
              </w:rPr>
              <w:t>+4.8%</w:t>
            </w:r>
          </w:p>
        </w:tc>
        <w:tc>
          <w:tcPr>
            <w:tcW w:type="dxa" w:w="1728"/>
          </w:tcPr>
          <w:p>
            <w:r>
              <w:rPr>
                <w:rFonts w:ascii="Calibri" w:hAnsi="Calibri"/>
                <w:sz w:val="22"/>
              </w:rPr>
              <w:t>Beat</w:t>
            </w:r>
          </w:p>
        </w:tc>
      </w:tr>
      <w:tr>
        <w:tc>
          <w:tcPr>
            <w:tcW w:type="dxa" w:w="1728"/>
          </w:tcPr>
          <w:p>
            <w:r>
              <w:rPr>
                <w:rFonts w:ascii="Calibri" w:hAnsi="Calibri"/>
                <w:sz w:val="22"/>
              </w:rPr>
              <w:t>FY26 Q3 (Mar-26)</w:t>
            </w:r>
          </w:p>
        </w:tc>
        <w:tc>
          <w:tcPr>
            <w:tcW w:type="dxa" w:w="1728"/>
          </w:tcPr>
          <w:p>
            <w:r>
              <w:rPr>
                <w:rFonts w:ascii="Calibri" w:hAnsi="Calibri"/>
                <w:sz w:val="22"/>
              </w:rPr>
              <w:t>$4.27</w:t>
            </w:r>
          </w:p>
        </w:tc>
        <w:tc>
          <w:tcPr>
            <w:tcW w:type="dxa" w:w="1728"/>
          </w:tcPr>
          <w:p>
            <w:r>
              <w:rPr>
                <w:rFonts w:ascii="Calibri" w:hAnsi="Calibri"/>
                <w:sz w:val="22"/>
              </w:rPr>
              <w:t>$4.07</w:t>
            </w:r>
          </w:p>
        </w:tc>
        <w:tc>
          <w:tcPr>
            <w:tcW w:type="dxa" w:w="1728"/>
          </w:tcPr>
          <w:p>
            <w:r>
              <w:rPr>
                <w:rFonts w:ascii="Calibri" w:hAnsi="Calibri"/>
                <w:b/>
                <w:color w:val="30A46C"/>
                <w:sz w:val="22"/>
              </w:rPr>
              <w:t>+4.9%</w:t>
            </w:r>
          </w:p>
        </w:tc>
        <w:tc>
          <w:tcPr>
            <w:tcW w:type="dxa" w:w="1728"/>
          </w:tcPr>
          <w:p>
            <w:r>
              <w:rPr>
                <w:rFonts w:ascii="Calibri" w:hAnsi="Calibri"/>
                <w:sz w:val="22"/>
              </w:rPr>
              <w:t>Beat</w:t>
            </w:r>
          </w:p>
        </w:tc>
      </w:tr>
      <w:tr>
        <w:tc>
          <w:tcPr>
            <w:tcW w:type="dxa" w:w="1728"/>
          </w:tcPr>
          <w:p>
            <w:r>
              <w:rPr>
                <w:rFonts w:ascii="Calibri" w:hAnsi="Calibri"/>
                <w:sz w:val="22"/>
              </w:rPr>
              <w:t>FY26 Q4 (Jun-26) — Est.</w:t>
            </w:r>
          </w:p>
        </w:tc>
        <w:tc>
          <w:tcPr>
            <w:tcW w:type="dxa" w:w="1728"/>
          </w:tcPr>
          <w:p>
            <w:r>
              <w:rPr>
                <w:rFonts w:ascii="Calibri" w:hAnsi="Calibri"/>
                <w:sz w:val="22"/>
              </w:rPr>
              <w:t>—</w:t>
            </w:r>
          </w:p>
        </w:tc>
        <w:tc>
          <w:tcPr>
            <w:tcW w:type="dxa" w:w="1728"/>
          </w:tcPr>
          <w:p>
            <w:r>
              <w:rPr>
                <w:rFonts w:ascii="Calibri" w:hAnsi="Calibri"/>
                <w:sz w:val="22"/>
              </w:rPr>
              <w:t>$4.26</w:t>
            </w:r>
          </w:p>
        </w:tc>
        <w:tc>
          <w:tcPr>
            <w:tcW w:type="dxa" w:w="1728"/>
          </w:tcPr>
          <w:p>
            <w:r>
              <w:rPr>
                <w:rFonts w:ascii="Calibri" w:hAnsi="Calibri"/>
                <w:sz w:val="22"/>
              </w:rPr>
              <w:t>—</w:t>
            </w:r>
          </w:p>
        </w:tc>
        <w:tc>
          <w:tcPr>
            <w:tcW w:type="dxa" w:w="1728"/>
          </w:tcPr>
          <w:p>
            <w:r>
              <w:rPr>
                <w:rFonts w:ascii="Calibri" w:hAnsi="Calibri"/>
                <w:sz w:val="22"/>
              </w:rPr>
              <w:t>Upcoming</w:t>
            </w:r>
          </w:p>
        </w:tc>
      </w:tr>
    </w:tbl>
    <w:p>
      <w:r>
        <w:rPr>
          <w:rFonts w:ascii="Calibri" w:hAnsi="Calibri"/>
          <w:b/>
          <w:color w:val="525866"/>
          <w:sz w:val="22"/>
        </w:rPr>
        <w:t xml:space="preserve">Pattern: </w:t>
      </w:r>
      <w:r>
        <w:rPr>
          <w:rFonts w:ascii="Calibri" w:hAnsi="Calibri"/>
          <w:color w:val="525866"/>
          <w:sz w:val="22"/>
        </w:rPr>
        <w:t>MSFT has beaten operating EPS consensus in each of the last 7 reported quarters, with an average surprise of ~7.6%. Azure CC growth has beaten in 6 of the last 7 quarters, with the sole miss in FY25 Q2 (Dec-24) triggering a significant stock selloff. The consistent beat pattern on EPS sets a high implicit bar, while Azure remains the binary catalyst.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April 29 Q3 earnings call — no post-earnings 8-K, conference, or investor day has revised any metric. Management tone was </w:t>
      </w:r>
    </w:p>
    <w:p>
      <w:r>
        <w:rPr>
          <w:rFonts w:ascii="Calibri" w:hAnsi="Calibri"/>
          <w:b/>
          <w:color w:val="525866"/>
          <w:sz w:val="22"/>
        </w:rPr>
        <w:t>notably constructive</w:t>
      </w:r>
      <w:r>
        <w:rPr>
          <w:rFonts w:ascii="Calibri" w:hAnsi="Calibri"/>
          <w:color w:val="525866"/>
          <w:sz w:val="22"/>
        </w:rPr>
        <w:t>: Amy Hood explicitly guided for modest Azure acceleration in H2 CY2026, committed to FY27 double-digit revenue and operating income growth, and framed the CapEx escalation as demand-driven and ROI-positive.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Earnings Call,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(Q4)</w:t>
            </w:r>
          </w:p>
        </w:tc>
        <w:tc>
          <w:tcPr>
            <w:tcW w:type="dxa" w:w="1728"/>
          </w:tcPr>
          <w:p>
            <w:r>
              <w:rPr>
                <w:rFonts w:ascii="Calibri" w:hAnsi="Calibri"/>
                <w:sz w:val="22"/>
              </w:rPr>
              <w:t>$86.7B–$87.8B (13%–15% growth)</w:t>
            </w:r>
          </w:p>
        </w:tc>
        <w:tc>
          <w:tcPr>
            <w:tcW w:type="dxa" w:w="1728"/>
          </w:tcPr>
          <w:p>
            <w:r>
              <w:rPr>
                <w:rFonts w:ascii="Calibri" w:hAnsi="Calibri"/>
                <w:sz w:val="22"/>
              </w:rPr>
              <w:t>—</w:t>
            </w:r>
          </w:p>
        </w:tc>
        <w:tc>
          <w:tcPr>
            <w:tcW w:type="dxa" w:w="1728"/>
          </w:tcPr>
          <w:p>
            <w:r>
              <w:rPr>
                <w:rFonts w:ascii="Calibri" w:hAnsi="Calibri"/>
                <w:sz w:val="22"/>
              </w:rPr>
              <w:t>$87.7B</w:t>
            </w:r>
          </w:p>
        </w:tc>
        <w:tc>
          <w:tcPr>
            <w:tcW w:type="dxa" w:w="1728"/>
          </w:tcPr>
          <w:p>
            <w:r>
              <w:rPr>
                <w:rFonts w:ascii="Calibri" w:hAnsi="Calibri"/>
                <w:sz w:val="22"/>
              </w:rPr>
              <w:t>Unchanged; consensus at high end of range</w:t>
            </w:r>
          </w:p>
        </w:tc>
      </w:tr>
      <w:tr>
        <w:tc>
          <w:tcPr>
            <w:tcW w:type="dxa" w:w="1728"/>
          </w:tcPr>
          <w:p>
            <w:r>
              <w:rPr>
                <w:rFonts w:ascii="Calibri" w:hAnsi="Calibri"/>
                <w:sz w:val="22"/>
              </w:rPr>
              <w:t>Azure CC Growth (Q4)</w:t>
            </w:r>
          </w:p>
        </w:tc>
        <w:tc>
          <w:tcPr>
            <w:tcW w:type="dxa" w:w="1728"/>
          </w:tcPr>
          <w:p>
            <w:r>
              <w:rPr>
                <w:rFonts w:ascii="Calibri" w:hAnsi="Calibri"/>
                <w:sz w:val="22"/>
              </w:rPr>
              <w:t>39%–40% CC</w:t>
            </w:r>
          </w:p>
        </w:tc>
        <w:tc>
          <w:tcPr>
            <w:tcW w:type="dxa" w:w="1728"/>
          </w:tcPr>
          <w:p>
            <w:r>
              <w:rPr>
                <w:rFonts w:ascii="Calibri" w:hAnsi="Calibri"/>
                <w:sz w:val="22"/>
              </w:rPr>
              <w:t>—</w:t>
            </w:r>
          </w:p>
        </w:tc>
        <w:tc>
          <w:tcPr>
            <w:tcW w:type="dxa" w:w="1728"/>
          </w:tcPr>
          <w:p>
            <w:r>
              <w:rPr>
                <w:rFonts w:ascii="Calibri" w:hAnsi="Calibri"/>
                <w:sz w:val="22"/>
              </w:rPr>
              <w:t>39.7%</w:t>
            </w:r>
          </w:p>
        </w:tc>
        <w:tc>
          <w:tcPr>
            <w:tcW w:type="dxa" w:w="1728"/>
          </w:tcPr>
          <w:p>
            <w:r>
              <w:rPr>
                <w:rFonts w:ascii="Calibri" w:hAnsi="Calibri"/>
                <w:sz w:val="22"/>
              </w:rPr>
              <w:t>Unchanged; consensus near midpoint</w:t>
            </w:r>
          </w:p>
        </w:tc>
      </w:tr>
      <w:tr>
        <w:tc>
          <w:tcPr>
            <w:tcW w:type="dxa" w:w="1728"/>
          </w:tcPr>
          <w:p>
            <w:r>
              <w:rPr>
                <w:rFonts w:ascii="Calibri" w:hAnsi="Calibri"/>
                <w:sz w:val="22"/>
              </w:rPr>
              <w:t>Intelligent Cloud Revenue (Q4)</w:t>
            </w:r>
          </w:p>
        </w:tc>
        <w:tc>
          <w:tcPr>
            <w:tcW w:type="dxa" w:w="1728"/>
          </w:tcPr>
          <w:p>
            <w:r>
              <w:rPr>
                <w:rFonts w:ascii="Calibri" w:hAnsi="Calibri"/>
                <w:sz w:val="22"/>
              </w:rPr>
              <w:t>$37.95B–$38.25B (27%–28% growth)</w:t>
            </w:r>
          </w:p>
        </w:tc>
        <w:tc>
          <w:tcPr>
            <w:tcW w:type="dxa" w:w="1728"/>
          </w:tcPr>
          <w:p>
            <w:r>
              <w:rPr>
                <w:rFonts w:ascii="Calibri" w:hAnsi="Calibri"/>
                <w:sz w:val="22"/>
              </w:rPr>
              <w:t>—</w:t>
            </w:r>
          </w:p>
        </w:tc>
        <w:tc>
          <w:tcPr>
            <w:tcW w:type="dxa" w:w="1728"/>
          </w:tcPr>
          <w:p>
            <w:r>
              <w:rPr>
                <w:rFonts w:ascii="Calibri" w:hAnsi="Calibri"/>
                <w:sz w:val="22"/>
              </w:rPr>
              <w:t>~$38.1B (est.)</w:t>
            </w:r>
          </w:p>
        </w:tc>
        <w:tc>
          <w:tcPr>
            <w:tcW w:type="dxa" w:w="1728"/>
          </w:tcPr>
          <w:p>
            <w:r>
              <w:rPr>
                <w:rFonts w:ascii="Calibri" w:hAnsi="Calibri"/>
                <w:sz w:val="22"/>
              </w:rPr>
              <w:t>Unchanged; consensus at midpoint</w:t>
            </w:r>
          </w:p>
        </w:tc>
      </w:tr>
      <w:tr>
        <w:tc>
          <w:tcPr>
            <w:tcW w:type="dxa" w:w="1728"/>
          </w:tcPr>
          <w:p>
            <w:r>
              <w:rPr>
                <w:rFonts w:ascii="Calibri" w:hAnsi="Calibri"/>
                <w:sz w:val="22"/>
              </w:rPr>
              <w:t>Productivity &amp; Business Processes Revenue (Q4)</w:t>
            </w:r>
          </w:p>
        </w:tc>
        <w:tc>
          <w:tcPr>
            <w:tcW w:type="dxa" w:w="1728"/>
          </w:tcPr>
          <w:p>
            <w:r>
              <w:rPr>
                <w:rFonts w:ascii="Calibri" w:hAnsi="Calibri"/>
                <w:sz w:val="22"/>
              </w:rPr>
              <w:t>$37.0B–$37.3B (12%–13% growth)</w:t>
            </w:r>
          </w:p>
        </w:tc>
        <w:tc>
          <w:tcPr>
            <w:tcW w:type="dxa" w:w="1728"/>
          </w:tcPr>
          <w:p>
            <w:r>
              <w:rPr>
                <w:rFonts w:ascii="Calibri" w:hAnsi="Calibri"/>
                <w:sz w:val="22"/>
              </w:rPr>
              <w:t>—</w:t>
            </w:r>
          </w:p>
        </w:tc>
        <w:tc>
          <w:tcPr>
            <w:tcW w:type="dxa" w:w="1728"/>
          </w:tcPr>
          <w:p>
            <w:r>
              <w:rPr>
                <w:rFonts w:ascii="Calibri" w:hAnsi="Calibri"/>
                <w:sz w:val="22"/>
              </w:rPr>
              <w:t>~$37.2B (est.)</w:t>
            </w:r>
          </w:p>
        </w:tc>
        <w:tc>
          <w:tcPr>
            <w:tcW w:type="dxa" w:w="1728"/>
          </w:tcPr>
          <w:p>
            <w:r>
              <w:rPr>
                <w:rFonts w:ascii="Calibri" w:hAnsi="Calibri"/>
                <w:sz w:val="22"/>
              </w:rPr>
              <w:t>Unchanged; M365 Copilot seat adds expected to increase sequentially</w:t>
            </w:r>
          </w:p>
        </w:tc>
      </w:tr>
      <w:tr>
        <w:tc>
          <w:tcPr>
            <w:tcW w:type="dxa" w:w="1728"/>
          </w:tcPr>
          <w:p>
            <w:r>
              <w:rPr>
                <w:rFonts w:ascii="Calibri" w:hAnsi="Calibri"/>
                <w:sz w:val="22"/>
              </w:rPr>
              <w:t>More Personal Computing Revenue (Q4)</w:t>
            </w:r>
          </w:p>
        </w:tc>
        <w:tc>
          <w:tcPr>
            <w:tcW w:type="dxa" w:w="1728"/>
          </w:tcPr>
          <w:p>
            <w:r>
              <w:rPr>
                <w:rFonts w:ascii="Calibri" w:hAnsi="Calibri"/>
                <w:sz w:val="22"/>
              </w:rPr>
              <w:t>$11.75B–$12.25B</w:t>
            </w:r>
          </w:p>
        </w:tc>
        <w:tc>
          <w:tcPr>
            <w:tcW w:type="dxa" w:w="1728"/>
          </w:tcPr>
          <w:p>
            <w:r>
              <w:rPr>
                <w:rFonts w:ascii="Calibri" w:hAnsi="Calibri"/>
                <w:sz w:val="22"/>
              </w:rPr>
              <w:t>—</w:t>
            </w:r>
          </w:p>
        </w:tc>
        <w:tc>
          <w:tcPr>
            <w:tcW w:type="dxa" w:w="1728"/>
          </w:tcPr>
          <w:p>
            <w:r>
              <w:rPr>
                <w:rFonts w:ascii="Calibri" w:hAnsi="Calibri"/>
                <w:sz w:val="22"/>
              </w:rPr>
              <w:t>~$12.0B (est.)</w:t>
            </w:r>
          </w:p>
        </w:tc>
        <w:tc>
          <w:tcPr>
            <w:tcW w:type="dxa" w:w="1728"/>
          </w:tcPr>
          <w:p>
            <w:r>
              <w:rPr>
                <w:rFonts w:ascii="Calibri" w:hAnsi="Calibri"/>
                <w:sz w:val="22"/>
              </w:rPr>
              <w:t>Unchanged; Windows OEM guided to decline high-teens (memory cost headwind)</w:t>
            </w:r>
          </w:p>
        </w:tc>
      </w:tr>
      <w:tr>
        <w:tc>
          <w:tcPr>
            <w:tcW w:type="dxa" w:w="1728"/>
          </w:tcPr>
          <w:p>
            <w:r>
              <w:rPr>
                <w:rFonts w:ascii="Calibri" w:hAnsi="Calibri"/>
                <w:sz w:val="22"/>
              </w:rPr>
              <w:t>Microsoft Cloud Gross Margin (Q4)</w:t>
            </w:r>
          </w:p>
        </w:tc>
        <w:tc>
          <w:tcPr>
            <w:tcW w:type="dxa" w:w="1728"/>
          </w:tcPr>
          <w:p>
            <w:r>
              <w:rPr>
                <w:rFonts w:ascii="Calibri" w:hAnsi="Calibri"/>
                <w:sz w:val="22"/>
              </w:rPr>
              <w:t>~64% (down YoY)</w:t>
            </w:r>
          </w:p>
        </w:tc>
        <w:tc>
          <w:tcPr>
            <w:tcW w:type="dxa" w:w="1728"/>
          </w:tcPr>
          <w:p>
            <w:r>
              <w:rPr>
                <w:rFonts w:ascii="Calibri" w:hAnsi="Calibri"/>
                <w:sz w:val="22"/>
              </w:rPr>
              <w:t>—</w:t>
            </w:r>
          </w:p>
        </w:tc>
        <w:tc>
          <w:tcPr>
            <w:tcW w:type="dxa" w:w="1728"/>
          </w:tcPr>
          <w:p>
            <w:r>
              <w:rPr>
                <w:rFonts w:ascii="Calibri" w:hAnsi="Calibri"/>
                <w:sz w:val="22"/>
              </w:rPr>
              <w:t>63.2%</w:t>
            </w:r>
          </w:p>
        </w:tc>
        <w:tc>
          <w:tcPr>
            <w:tcW w:type="dxa" w:w="1728"/>
          </w:tcPr>
          <w:p>
            <w:r>
              <w:rPr>
                <w:rFonts w:ascii="Calibri" w:hAnsi="Calibri"/>
                <w:sz w:val="22"/>
              </w:rPr>
              <w:t>Unchanged; consensus slightly below guide midpoint; GitHub Copilot usage-based transition a headwind</w:t>
            </w:r>
          </w:p>
        </w:tc>
      </w:tr>
      <w:tr>
        <w:tc>
          <w:tcPr>
            <w:tcW w:type="dxa" w:w="1728"/>
          </w:tcPr>
          <w:p>
            <w:r>
              <w:rPr>
                <w:rFonts w:ascii="Calibri" w:hAnsi="Calibri"/>
                <w:sz w:val="22"/>
              </w:rPr>
              <w:t>CapEx (Q4)</w:t>
            </w:r>
          </w:p>
        </w:tc>
        <w:tc>
          <w:tcPr>
            <w:tcW w:type="dxa" w:w="1728"/>
          </w:tcPr>
          <w:p>
            <w:r>
              <w:rPr>
                <w:rFonts w:ascii="Calibri" w:hAnsi="Calibri"/>
                <w:sz w:val="22"/>
              </w:rPr>
              <w:t>&gt;$40B (incl. ~$5B from higher component pricing)</w:t>
            </w:r>
          </w:p>
        </w:tc>
        <w:tc>
          <w:tcPr>
            <w:tcW w:type="dxa" w:w="1728"/>
          </w:tcPr>
          <w:p>
            <w:r>
              <w:rPr>
                <w:rFonts w:ascii="Calibri" w:hAnsi="Calibri"/>
                <w:sz w:val="22"/>
              </w:rPr>
              <w:t>—</w:t>
            </w:r>
          </w:p>
        </w:tc>
        <w:tc>
          <w:tcPr>
            <w:tcW w:type="dxa" w:w="1728"/>
          </w:tcPr>
          <w:p>
            <w:r>
              <w:rPr>
                <w:rFonts w:ascii="Calibri" w:hAnsi="Calibri"/>
                <w:sz w:val="22"/>
              </w:rPr>
              <w:t>$42.4B</w:t>
            </w:r>
          </w:p>
        </w:tc>
        <w:tc>
          <w:tcPr>
            <w:tcW w:type="dxa" w:w="1728"/>
          </w:tcPr>
          <w:p>
            <w:r>
              <w:rPr>
                <w:rFonts w:ascii="Calibri" w:hAnsi="Calibri"/>
                <w:sz w:val="22"/>
              </w:rPr>
              <w:t>Unchanged; CY2026 total guided ~$190B incl. ~$25B from component pricing</w:t>
            </w:r>
          </w:p>
        </w:tc>
      </w:tr>
      <w:tr>
        <w:tc>
          <w:tcPr>
            <w:tcW w:type="dxa" w:w="1728"/>
          </w:tcPr>
          <w:p>
            <w:r>
              <w:rPr>
                <w:rFonts w:ascii="Calibri" w:hAnsi="Calibri"/>
                <w:sz w:val="22"/>
              </w:rPr>
              <w:t>FY26 Operating Margin</w:t>
            </w:r>
          </w:p>
        </w:tc>
        <w:tc>
          <w:tcPr>
            <w:tcW w:type="dxa" w:w="1728"/>
          </w:tcPr>
          <w:p>
            <w:r>
              <w:rPr>
                <w:rFonts w:ascii="Calibri" w:hAnsi="Calibri"/>
                <w:sz w:val="22"/>
              </w:rPr>
              <w:t>Up ~1 pt YoY (ex-OpenAI impact)</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Unchanged; includes ~$900M one-time voluntary retirement program costs in Q4</w:t>
            </w:r>
          </w:p>
        </w:tc>
      </w:tr>
      <w:tr>
        <w:tc>
          <w:tcPr>
            <w:tcW w:type="dxa" w:w="1728"/>
          </w:tcPr>
          <w:p>
            <w:r>
              <w:rPr>
                <w:rFonts w:ascii="Calibri" w:hAnsi="Calibri"/>
                <w:sz w:val="22"/>
              </w:rPr>
              <w:t>FY27 Outlook</w:t>
            </w:r>
          </w:p>
        </w:tc>
        <w:tc>
          <w:tcPr>
            <w:tcW w:type="dxa" w:w="1728"/>
          </w:tcPr>
          <w:p>
            <w:r>
              <w:rPr>
                <w:rFonts w:ascii="Calibri" w:hAnsi="Calibri"/>
                <w:sz w:val="22"/>
              </w:rPr>
              <w:t>Double-digit revenue &amp; operating income growth; OpEx mid-to-high single digits; headcount to decline YoY</w:t>
            </w:r>
          </w:p>
        </w:tc>
        <w:tc>
          <w:tcPr>
            <w:tcW w:type="dxa" w:w="1728"/>
          </w:tcPr>
          <w:p>
            <w:r>
              <w:rPr>
                <w:rFonts w:ascii="Calibri" w:hAnsi="Calibri"/>
                <w:sz w:val="22"/>
              </w:rPr>
              <w:t>—</w:t>
            </w:r>
          </w:p>
        </w:tc>
        <w:tc>
          <w:tcPr>
            <w:tcW w:type="dxa" w:w="1728"/>
          </w:tcPr>
          <w:p>
            <w:r>
              <w:rPr>
                <w:rFonts w:ascii="Calibri" w:hAnsi="Calibri"/>
                <w:sz w:val="22"/>
              </w:rPr>
              <w:t>FY27 Revenue: $385.2B; FY27 Op. EPS: $19.45</w:t>
            </w:r>
          </w:p>
        </w:tc>
        <w:tc>
          <w:tcPr>
            <w:tcW w:type="dxa" w:w="1728"/>
          </w:tcPr>
          <w:p>
            <w:r>
              <w:rPr>
                <w:rFonts w:ascii="Calibri" w:hAnsi="Calibri"/>
                <w:sz w:val="22"/>
              </w:rPr>
              <w:t>Unchanged; management committed to FY27 framework on Apr 29 call</w:t>
            </w:r>
          </w:p>
        </w:tc>
      </w:tr>
    </w:tbl>
    <w:p>
      <w:r>
        <w:rPr>
          <w:rFonts w:ascii="Calibri" w:hAnsi="Calibri"/>
          <w:i/>
          <w:color w:val="525866"/>
          <w:sz w:val="22"/>
        </w:rPr>
        <w:t>Source: MSFT Q3 FY26 Earnings Call Transcript (April 29,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Q3 print — Q4 revenue and FY26 EPS are essentially flat vs. the post-earnings baseline, confirming the Street is tracking guidance rather than diverging. The </w:t>
      </w:r>
    </w:p>
    <w:p>
      <w:r>
        <w:rPr>
          <w:rFonts w:ascii="Calibri" w:hAnsi="Calibri"/>
          <w:b/>
          <w:color w:val="525866"/>
          <w:sz w:val="22"/>
        </w:rPr>
        <w:t>only notable revision is a modest upward drift in FY27 EPS</w:t>
      </w:r>
      <w:r>
        <w:rPr>
          <w:rFonts w:ascii="Calibri" w:hAnsi="Calibri"/>
          <w:color w:val="525866"/>
          <w:sz w:val="22"/>
        </w:rPr>
        <w:t xml:space="preserve"> (from $19.54 to $19.45 — a slight downward revision), suggesting the market is not yet pricing in meaningful FY27 upside beyond management's double-digit growth commitment.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6, 2026 — ~5 Days Post Q3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29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 Q4 FY26</w:t>
            </w:r>
          </w:p>
        </w:tc>
        <w:tc>
          <w:tcPr>
            <w:tcW w:type="dxa" w:w="1080"/>
          </w:tcPr>
          <w:p>
            <w:r>
              <w:rPr>
                <w:rFonts w:ascii="Calibri" w:hAnsi="Calibri"/>
                <w:sz w:val="22"/>
              </w:rPr>
              <w:t>$87.68B</w:t>
            </w:r>
          </w:p>
        </w:tc>
        <w:tc>
          <w:tcPr>
            <w:tcW w:type="dxa" w:w="1080"/>
          </w:tcPr>
          <w:p>
            <w:r>
              <w:rPr>
                <w:rFonts w:ascii="Calibri" w:hAnsi="Calibri"/>
                <w:sz w:val="22"/>
              </w:rPr>
              <w:t>$87.71B</w:t>
            </w:r>
          </w:p>
        </w:tc>
        <w:tc>
          <w:tcPr>
            <w:tcW w:type="dxa" w:w="1080"/>
          </w:tcPr>
          <w:p>
            <w:r>
              <w:rPr>
                <w:rFonts w:ascii="Calibri" w:hAnsi="Calibri"/>
                <w:sz w:val="22"/>
              </w:rPr>
              <w:t>+0.0%</w:t>
            </w:r>
          </w:p>
        </w:tc>
        <w:tc>
          <w:tcPr>
            <w:tcW w:type="dxa" w:w="1080"/>
          </w:tcPr>
          <w:p>
            <w:r>
              <w:rPr>
                <w:rFonts w:ascii="Calibri" w:hAnsi="Calibri"/>
                <w:sz w:val="22"/>
              </w:rPr>
              <w:t>$86.7B–$87.8B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w:t>
            </w:r>
          </w:p>
        </w:tc>
      </w:tr>
      <w:tr>
        <w:tc>
          <w:tcPr>
            <w:tcW w:type="dxa" w:w="1080"/>
          </w:tcPr>
          <w:p>
            <w:r>
              <w:rPr>
                <w:rFonts w:ascii="Calibri" w:hAnsi="Calibri"/>
                <w:sz w:val="22"/>
              </w:rPr>
              <w:t>Total Revenue — FY26</w:t>
            </w:r>
          </w:p>
        </w:tc>
        <w:tc>
          <w:tcPr>
            <w:tcW w:type="dxa" w:w="1080"/>
          </w:tcPr>
          <w:p>
            <w:r>
              <w:rPr>
                <w:rFonts w:ascii="Calibri" w:hAnsi="Calibri"/>
                <w:sz w:val="22"/>
              </w:rPr>
              <w:t>$329.53B</w:t>
            </w:r>
          </w:p>
        </w:tc>
        <w:tc>
          <w:tcPr>
            <w:tcW w:type="dxa" w:w="1080"/>
          </w:tcPr>
          <w:p>
            <w:r>
              <w:rPr>
                <w:rFonts w:ascii="Calibri" w:hAnsi="Calibri"/>
                <w:sz w:val="22"/>
              </w:rPr>
              <w:t>$329.55B</w:t>
            </w:r>
          </w:p>
        </w:tc>
        <w:tc>
          <w:tcPr>
            <w:tcW w:type="dxa" w:w="1080"/>
          </w:tcPr>
          <w:p>
            <w:r>
              <w:rPr>
                <w:rFonts w:ascii="Calibri" w:hAnsi="Calibri"/>
                <w:sz w:val="22"/>
              </w:rPr>
              <w:t>+0.0%</w:t>
            </w:r>
          </w:p>
        </w:tc>
        <w:tc>
          <w:tcPr>
            <w:tcW w:type="dxa" w:w="1080"/>
          </w:tcPr>
          <w:p>
            <w:r>
              <w:rPr>
                <w:rFonts w:ascii="Calibri" w:hAnsi="Calibri"/>
                <w:sz w:val="22"/>
              </w:rPr>
              <w:t>N/A (FY)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FY27</w:t>
            </w:r>
          </w:p>
        </w:tc>
        <w:tc>
          <w:tcPr>
            <w:tcW w:type="dxa" w:w="1080"/>
          </w:tcPr>
          <w:p>
            <w:r>
              <w:rPr>
                <w:rFonts w:ascii="Calibri" w:hAnsi="Calibri"/>
                <w:sz w:val="22"/>
              </w:rPr>
              <w:t>$384.66B</w:t>
            </w:r>
          </w:p>
        </w:tc>
        <w:tc>
          <w:tcPr>
            <w:tcW w:type="dxa" w:w="1080"/>
          </w:tcPr>
          <w:p>
            <w:r>
              <w:rPr>
                <w:rFonts w:ascii="Calibri" w:hAnsi="Calibri"/>
                <w:sz w:val="22"/>
              </w:rPr>
              <w:t>$385.22B</w:t>
            </w:r>
          </w:p>
        </w:tc>
        <w:tc>
          <w:tcPr>
            <w:tcW w:type="dxa" w:w="1080"/>
          </w:tcPr>
          <w:p>
            <w:r>
              <w:rPr>
                <w:rFonts w:ascii="Calibri" w:hAnsi="Calibri"/>
                <w:sz w:val="22"/>
              </w:rPr>
              <w:t>+0.1%</w:t>
            </w:r>
          </w:p>
        </w:tc>
        <w:tc>
          <w:tcPr>
            <w:tcW w:type="dxa" w:w="1080"/>
          </w:tcPr>
          <w:p>
            <w:r>
              <w:rPr>
                <w:rFonts w:ascii="Calibri" w:hAnsi="Calibri"/>
                <w:sz w:val="22"/>
              </w:rPr>
              <w:t>Double-digit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w:t>
            </w:r>
          </w:p>
        </w:tc>
      </w:tr>
      <w:tr>
        <w:tc>
          <w:tcPr>
            <w:tcW w:type="dxa" w:w="1080"/>
          </w:tcPr>
          <w:p>
            <w:r>
              <w:rPr>
                <w:rFonts w:ascii="Calibri" w:hAnsi="Calibri"/>
                <w:sz w:val="22"/>
              </w:rPr>
              <w:t>Azure CC Growth — Q4 FY26</w:t>
            </w:r>
          </w:p>
        </w:tc>
        <w:tc>
          <w:tcPr>
            <w:tcW w:type="dxa" w:w="1080"/>
          </w:tcPr>
          <w:p>
            <w:r>
              <w:rPr>
                <w:rFonts w:ascii="Calibri" w:hAnsi="Calibri"/>
                <w:sz w:val="22"/>
              </w:rPr>
              <w:t>39.7%</w:t>
            </w:r>
          </w:p>
        </w:tc>
        <w:tc>
          <w:tcPr>
            <w:tcW w:type="dxa" w:w="1080"/>
          </w:tcPr>
          <w:p>
            <w:r>
              <w:rPr>
                <w:rFonts w:ascii="Calibri" w:hAnsi="Calibri"/>
                <w:sz w:val="22"/>
              </w:rPr>
              <w:t>39.7%</w:t>
            </w:r>
          </w:p>
        </w:tc>
        <w:tc>
          <w:tcPr>
            <w:tcW w:type="dxa" w:w="1080"/>
          </w:tcPr>
          <w:p>
            <w:r>
              <w:rPr>
                <w:rFonts w:ascii="Calibri" w:hAnsi="Calibri"/>
                <w:sz w:val="22"/>
              </w:rPr>
              <w:t>0.0 pts</w:t>
            </w:r>
          </w:p>
        </w:tc>
        <w:tc>
          <w:tcPr>
            <w:tcW w:type="dxa" w:w="1080"/>
          </w:tcPr>
          <w:p>
            <w:r>
              <w:rPr>
                <w:rFonts w:ascii="Calibri" w:hAnsi="Calibri"/>
                <w:sz w:val="22"/>
              </w:rPr>
              <w:t>39%–40%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w:t>
            </w:r>
          </w:p>
        </w:tc>
      </w:tr>
      <w:tr>
        <w:tc>
          <w:tcPr>
            <w:tcW w:type="dxa" w:w="1080"/>
          </w:tcPr>
          <w:p>
            <w:r>
              <w:rPr>
                <w:rFonts w:ascii="Calibri" w:hAnsi="Calibri"/>
                <w:sz w:val="22"/>
              </w:rPr>
              <w:t>Azure CC Growth — FY26</w:t>
            </w:r>
          </w:p>
        </w:tc>
        <w:tc>
          <w:tcPr>
            <w:tcW w:type="dxa" w:w="1080"/>
          </w:tcPr>
          <w:p>
            <w:r>
              <w:rPr>
                <w:rFonts w:ascii="Calibri" w:hAnsi="Calibri"/>
                <w:sz w:val="22"/>
              </w:rPr>
              <w:t>38.8%</w:t>
            </w:r>
          </w:p>
        </w:tc>
        <w:tc>
          <w:tcPr>
            <w:tcW w:type="dxa" w:w="1080"/>
          </w:tcPr>
          <w:p>
            <w:r>
              <w:rPr>
                <w:rFonts w:ascii="Calibri" w:hAnsi="Calibri"/>
                <w:sz w:val="22"/>
              </w:rPr>
              <w:t>38.8%</w:t>
            </w:r>
          </w:p>
        </w:tc>
        <w:tc>
          <w:tcPr>
            <w:tcW w:type="dxa" w:w="1080"/>
          </w:tcPr>
          <w:p>
            <w:r>
              <w:rPr>
                <w:rFonts w:ascii="Calibri" w:hAnsi="Calibri"/>
                <w:sz w:val="22"/>
              </w:rPr>
              <w:t>0.0 pts</w:t>
            </w:r>
          </w:p>
        </w:tc>
        <w:tc>
          <w:tcPr>
            <w:tcW w:type="dxa" w:w="1080"/>
          </w:tcPr>
          <w:p>
            <w:r>
              <w:rPr>
                <w:rFonts w:ascii="Calibri" w:hAnsi="Calibri"/>
                <w:sz w:val="22"/>
              </w:rPr>
              <w:t>N/A (FY)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Q4 FY26</w:t>
            </w:r>
          </w:p>
        </w:tc>
        <w:tc>
          <w:tcPr>
            <w:tcW w:type="dxa" w:w="1080"/>
          </w:tcPr>
          <w:p>
            <w:r>
              <w:rPr>
                <w:rFonts w:ascii="Calibri" w:hAnsi="Calibri"/>
                <w:sz w:val="22"/>
              </w:rPr>
              <w:t>$4.26</w:t>
            </w:r>
          </w:p>
        </w:tc>
        <w:tc>
          <w:tcPr>
            <w:tcW w:type="dxa" w:w="1080"/>
          </w:tcPr>
          <w:p>
            <w:r>
              <w:rPr>
                <w:rFonts w:ascii="Calibri" w:hAnsi="Calibri"/>
                <w:sz w:val="22"/>
              </w:rPr>
              <w:t>$4.26</w:t>
            </w:r>
          </w:p>
        </w:tc>
        <w:tc>
          <w:tcPr>
            <w:tcW w:type="dxa" w:w="1080"/>
          </w:tcPr>
          <w:p>
            <w:r>
              <w:rPr>
                <w:rFonts w:ascii="Calibri" w:hAnsi="Calibri"/>
                <w:sz w:val="22"/>
              </w:rPr>
              <w:t>0.0%</w:t>
            </w:r>
          </w:p>
        </w:tc>
        <w:tc>
          <w:tcPr>
            <w:tcW w:type="dxa" w:w="1080"/>
          </w:tcPr>
          <w:p>
            <w:r>
              <w:rPr>
                <w:rFonts w:ascii="Calibri" w:hAnsi="Calibri"/>
                <w:sz w:val="22"/>
              </w:rPr>
              <w:t>N/A (implied)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FY26</w:t>
            </w:r>
          </w:p>
        </w:tc>
        <w:tc>
          <w:tcPr>
            <w:tcW w:type="dxa" w:w="1080"/>
          </w:tcPr>
          <w:p>
            <w:r>
              <w:rPr>
                <w:rFonts w:ascii="Calibri" w:hAnsi="Calibri"/>
                <w:sz w:val="22"/>
              </w:rPr>
              <w:t>$16.85</w:t>
            </w:r>
          </w:p>
        </w:tc>
        <w:tc>
          <w:tcPr>
            <w:tcW w:type="dxa" w:w="1080"/>
          </w:tcPr>
          <w:p>
            <w:r>
              <w:rPr>
                <w:rFonts w:ascii="Calibri" w:hAnsi="Calibri"/>
                <w:sz w:val="22"/>
              </w:rPr>
              <w:t>$16.93</w:t>
            </w:r>
          </w:p>
        </w:tc>
        <w:tc>
          <w:tcPr>
            <w:tcW w:type="dxa" w:w="1080"/>
          </w:tcPr>
          <w:p>
            <w:r>
              <w:rPr>
                <w:rFonts w:ascii="Calibri" w:hAnsi="Calibri"/>
                <w:sz w:val="22"/>
              </w:rPr>
              <w:t>+0.5%</w:t>
            </w:r>
          </w:p>
        </w:tc>
        <w:tc>
          <w:tcPr>
            <w:tcW w:type="dxa" w:w="1080"/>
          </w:tcPr>
          <w:p>
            <w:r>
              <w:rPr>
                <w:rFonts w:ascii="Calibri" w:hAnsi="Calibri"/>
                <w:sz w:val="22"/>
              </w:rPr>
              <w:t>Up ~1 pt margin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w:t>
            </w:r>
          </w:p>
        </w:tc>
      </w:tr>
      <w:tr>
        <w:tc>
          <w:tcPr>
            <w:tcW w:type="dxa" w:w="1080"/>
          </w:tcPr>
          <w:p>
            <w:r>
              <w:rPr>
                <w:rFonts w:ascii="Calibri" w:hAnsi="Calibri"/>
                <w:sz w:val="22"/>
              </w:rPr>
              <w:t>Operating EPS — FY27</w:t>
            </w:r>
          </w:p>
        </w:tc>
        <w:tc>
          <w:tcPr>
            <w:tcW w:type="dxa" w:w="1080"/>
          </w:tcPr>
          <w:p>
            <w:r>
              <w:rPr>
                <w:rFonts w:ascii="Calibri" w:hAnsi="Calibri"/>
                <w:sz w:val="22"/>
              </w:rPr>
              <w:t>$19.54</w:t>
            </w:r>
          </w:p>
        </w:tc>
        <w:tc>
          <w:tcPr>
            <w:tcW w:type="dxa" w:w="1080"/>
          </w:tcPr>
          <w:p>
            <w:r>
              <w:rPr>
                <w:rFonts w:ascii="Calibri" w:hAnsi="Calibri"/>
                <w:sz w:val="22"/>
              </w:rPr>
              <w:t>$19.45</w:t>
            </w:r>
          </w:p>
        </w:tc>
        <w:tc>
          <w:tcPr>
            <w:tcW w:type="dxa" w:w="1080"/>
          </w:tcPr>
          <w:p>
            <w:r>
              <w:rPr>
                <w:rFonts w:ascii="Calibri" w:hAnsi="Calibri"/>
                <w:sz w:val="22"/>
              </w:rPr>
              <w:t>-0.5%</w:t>
            </w:r>
          </w:p>
        </w:tc>
        <w:tc>
          <w:tcPr>
            <w:tcW w:type="dxa" w:w="1080"/>
          </w:tcPr>
          <w:p>
            <w:r>
              <w:rPr>
                <w:rFonts w:ascii="Calibri" w:hAnsi="Calibri"/>
                <w:sz w:val="22"/>
              </w:rPr>
              <w:t>Double-digit OpInc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w:t>
            </w:r>
          </w:p>
        </w:tc>
      </w:tr>
      <w:tr>
        <w:tc>
          <w:tcPr>
            <w:tcW w:type="dxa" w:w="1080"/>
          </w:tcPr>
          <w:p>
            <w:r>
              <w:rPr>
                <w:rFonts w:ascii="Calibri" w:hAnsi="Calibri"/>
                <w:sz w:val="22"/>
              </w:rPr>
              <w:t>CapEx incl. Leases — Q4 FY26</w:t>
            </w:r>
          </w:p>
        </w:tc>
        <w:tc>
          <w:tcPr>
            <w:tcW w:type="dxa" w:w="1080"/>
          </w:tcPr>
          <w:p>
            <w:r>
              <w:rPr>
                <w:rFonts w:ascii="Calibri" w:hAnsi="Calibri"/>
                <w:sz w:val="22"/>
              </w:rPr>
              <w:t>$41.99B</w:t>
            </w:r>
          </w:p>
        </w:tc>
        <w:tc>
          <w:tcPr>
            <w:tcW w:type="dxa" w:w="1080"/>
          </w:tcPr>
          <w:p>
            <w:r>
              <w:rPr>
                <w:rFonts w:ascii="Calibri" w:hAnsi="Calibri"/>
                <w:sz w:val="22"/>
              </w:rPr>
              <w:t>$42.37B</w:t>
            </w:r>
          </w:p>
        </w:tc>
        <w:tc>
          <w:tcPr>
            <w:tcW w:type="dxa" w:w="1080"/>
          </w:tcPr>
          <w:p>
            <w:r>
              <w:rPr>
                <w:rFonts w:ascii="Calibri" w:hAnsi="Calibri"/>
                <w:sz w:val="22"/>
              </w:rPr>
              <w:t>+0.9%</w:t>
            </w:r>
          </w:p>
        </w:tc>
        <w:tc>
          <w:tcPr>
            <w:tcW w:type="dxa" w:w="1080"/>
          </w:tcPr>
          <w:p>
            <w:r>
              <w:rPr>
                <w:rFonts w:ascii="Calibri" w:hAnsi="Calibri"/>
                <w:sz w:val="22"/>
              </w:rPr>
              <w:t>&gt;$40B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 above floor</w:t>
            </w:r>
          </w:p>
        </w:tc>
      </w:tr>
    </w:tbl>
    <w:p>
      <w:r>
        <w:rPr>
          <w:rFonts w:ascii="Calibri" w:hAnsi="Calibri"/>
          <w:color w:val="525866"/>
          <w:sz w:val="22"/>
        </w:rPr>
        <w:t>Estimates are anchored tightly to guidance with virtually zero revision drift since the Q3 print, which is unusual and suggests the Street has high conviction in management's guided range. The key risk is that CapEx consensus ($42.4B) already sits above the "&gt;$40B" floor, meaning any further upward revision in Q4 guidance would be a negative surprise. FY27 estimates imply ~17% revenue growth and ~15% EPS growth, consistent with management's double-digit commitment but leaving limited room for disappointment.</w:t>
      </w:r>
    </w:p>
    <w:p>
      <w:r>
        <w:rPr>
          <w:rFonts w:ascii="Calibri" w:hAnsi="Calibri"/>
          <w:i/>
          <w:color w:val="525866"/>
          <w:sz w:val="22"/>
        </w:rPr>
        <w:t>Source: Visible Alpha Consensus and Actuals Data (as-of date May 6, 2026 and current). MSFT Q3 FY26 Earnings Call Transcript (April 29,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MSFT has underperformed both IGV and SPY since the Q3 earnings print, driven almost entirely by </w:t>
      </w:r>
    </w:p>
    <w:p>
      <w:r>
        <w:rPr>
          <w:rFonts w:ascii="Calibri" w:hAnsi="Calibri"/>
          <w:b/>
          <w:color w:val="525866"/>
          <w:sz w:val="22"/>
        </w:rPr>
        <w:t>multiple compression</w:t>
      </w:r>
      <w:r>
        <w:rPr>
          <w:rFonts w:ascii="Calibri" w:hAnsi="Calibri"/>
          <w:color w:val="525866"/>
          <w:sz w:val="22"/>
        </w:rPr>
        <w:t xml:space="preserve"> (NTM P/E from ~22.6x to ~19.7x; EV/EBITDA from ~14.1x to ~12.0x) rather than estimate cuts. The stock is down ~7% since April 29 vs. IGV roughly flat and SPY up ~4%, reflecting persistent investor skepticism about CapEx ROI and competitive pressure from Google Cloud's faster growth rate. The recent partial recovery (MSFT +11% from its June 25 trough of $352.83 to $393.35 on July 29) suggests some positioning ahead of the print, but the stock remains well below its post-Q3 close of $424.46.</w:t>
      </w:r>
    </w:p>
    <w:p>
      <w:r>
        <w:rPr>
          <w:rFonts w:ascii="Calibri" w:hAnsi="Calibri"/>
          <w:b/>
          <w:color w:val="525866"/>
          <w:sz w:val="22"/>
        </w:rPr>
        <w:t>MSFT vs. IGV vs. SPY — Indexed to 100 at April 29, 2026 (Last Earnings 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MSFT (Indexed)</w:t>
            </w:r>
          </w:p>
        </w:tc>
        <w:tc>
          <w:tcPr>
            <w:tcW w:type="dxa" w:w="1728"/>
            <w:shd w:val="clear" w:color="auto" w:fill="3B4259"/>
          </w:tcPr>
          <w:p>
            <w:r>
              <w:rPr>
                <w:rFonts w:ascii="Calibri" w:hAnsi="Calibri"/>
                <w:b/>
                <w:color w:val="FFFFFF"/>
                <w:sz w:val="22"/>
              </w:rPr>
              <w:t>IGV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29, 2026 (Q3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Q3 FY26 Earnings (Beat; stock -1-2% AH)</w:t>
            </w:r>
          </w:p>
        </w:tc>
      </w:tr>
      <w:tr>
        <w:tc>
          <w:tcPr>
            <w:tcW w:type="dxa" w:w="1728"/>
          </w:tcPr>
          <w:p>
            <w:r>
              <w:rPr>
                <w:rFonts w:ascii="Calibri" w:hAnsi="Calibri"/>
                <w:sz w:val="22"/>
              </w:rPr>
              <w:t>May 29, 2026</w:t>
            </w:r>
          </w:p>
        </w:tc>
        <w:tc>
          <w:tcPr>
            <w:tcW w:type="dxa" w:w="1728"/>
          </w:tcPr>
          <w:p>
            <w:r>
              <w:rPr>
                <w:rFonts w:ascii="Calibri" w:hAnsi="Calibri"/>
                <w:sz w:val="22"/>
              </w:rPr>
              <w:t>106.1</w:t>
            </w:r>
          </w:p>
        </w:tc>
        <w:tc>
          <w:tcPr>
            <w:tcW w:type="dxa" w:w="1728"/>
          </w:tcPr>
          <w:p>
            <w:r>
              <w:rPr>
                <w:rFonts w:ascii="Calibri" w:hAnsi="Calibri"/>
                <w:sz w:val="22"/>
              </w:rPr>
              <w:t>120.3</w:t>
            </w:r>
          </w:p>
        </w:tc>
        <w:tc>
          <w:tcPr>
            <w:tcW w:type="dxa" w:w="1728"/>
          </w:tcPr>
          <w:p>
            <w:r>
              <w:rPr>
                <w:rFonts w:ascii="Calibri" w:hAnsi="Calibri"/>
                <w:sz w:val="22"/>
              </w:rPr>
              <w:t>106.3</w:t>
            </w:r>
          </w:p>
        </w:tc>
        <w:tc>
          <w:tcPr>
            <w:tcW w:type="dxa" w:w="1728"/>
          </w:tcPr>
          <w:p>
            <w:r>
              <w:rPr>
                <w:rFonts w:ascii="Calibri" w:hAnsi="Calibri"/>
                <w:sz w:val="22"/>
              </w:rPr>
              <w:t>Peak post-earnings; AMD Helios partnership announced</w:t>
            </w:r>
          </w:p>
        </w:tc>
      </w:tr>
      <w:tr>
        <w:tc>
          <w:tcPr>
            <w:tcW w:type="dxa" w:w="1728"/>
          </w:tcPr>
          <w:p>
            <w:r>
              <w:rPr>
                <w:rFonts w:ascii="Calibri" w:hAnsi="Calibri"/>
                <w:sz w:val="22"/>
              </w:rPr>
              <w:t>Jun 5, 2026</w:t>
            </w:r>
          </w:p>
        </w:tc>
        <w:tc>
          <w:tcPr>
            <w:tcW w:type="dxa" w:w="1728"/>
          </w:tcPr>
          <w:p>
            <w:r>
              <w:rPr>
                <w:rFonts w:ascii="Calibri" w:hAnsi="Calibri"/>
                <w:sz w:val="22"/>
              </w:rPr>
              <w:t>98.2</w:t>
            </w:r>
          </w:p>
        </w:tc>
        <w:tc>
          <w:tcPr>
            <w:tcW w:type="dxa" w:w="1728"/>
          </w:tcPr>
          <w:p>
            <w:r>
              <w:rPr>
                <w:rFonts w:ascii="Calibri" w:hAnsi="Calibri"/>
                <w:sz w:val="22"/>
              </w:rPr>
              <w:t>113.4</w:t>
            </w:r>
          </w:p>
        </w:tc>
        <w:tc>
          <w:tcPr>
            <w:tcW w:type="dxa" w:w="1728"/>
          </w:tcPr>
          <w:p>
            <w:r>
              <w:rPr>
                <w:rFonts w:ascii="Calibri" w:hAnsi="Calibri"/>
                <w:sz w:val="22"/>
              </w:rPr>
              <w:t>103.6</w:t>
            </w:r>
          </w:p>
        </w:tc>
        <w:tc>
          <w:tcPr>
            <w:tcW w:type="dxa" w:w="1728"/>
          </w:tcPr>
          <w:p>
            <w:r>
              <w:rPr>
                <w:rFonts w:ascii="Calibri" w:hAnsi="Calibri"/>
                <w:sz w:val="22"/>
              </w:rPr>
              <w:t>Broad tech selloff; IBM pre-announcement shock</w:t>
            </w:r>
          </w:p>
        </w:tc>
      </w:tr>
      <w:tr>
        <w:tc>
          <w:tcPr>
            <w:tcW w:type="dxa" w:w="1728"/>
          </w:tcPr>
          <w:p>
            <w:r>
              <w:rPr>
                <w:rFonts w:ascii="Calibri" w:hAnsi="Calibri"/>
                <w:sz w:val="22"/>
              </w:rPr>
              <w:t>Jun 25, 2026</w:t>
            </w:r>
          </w:p>
        </w:tc>
        <w:tc>
          <w:tcPr>
            <w:tcW w:type="dxa" w:w="1728"/>
          </w:tcPr>
          <w:p>
            <w:r>
              <w:rPr>
                <w:rFonts w:ascii="Calibri" w:hAnsi="Calibri"/>
                <w:sz w:val="22"/>
              </w:rPr>
              <w:t>83.1</w:t>
            </w:r>
          </w:p>
        </w:tc>
        <w:tc>
          <w:tcPr>
            <w:tcW w:type="dxa" w:w="1728"/>
          </w:tcPr>
          <w:p>
            <w:r>
              <w:rPr>
                <w:rFonts w:ascii="Calibri" w:hAnsi="Calibri"/>
                <w:sz w:val="22"/>
              </w:rPr>
              <w:t>100.3</w:t>
            </w:r>
          </w:p>
        </w:tc>
        <w:tc>
          <w:tcPr>
            <w:tcW w:type="dxa" w:w="1728"/>
          </w:tcPr>
          <w:p>
            <w:r>
              <w:rPr>
                <w:rFonts w:ascii="Calibri" w:hAnsi="Calibri"/>
                <w:sz w:val="22"/>
              </w:rPr>
              <w:t>103.2</w:t>
            </w:r>
          </w:p>
        </w:tc>
        <w:tc>
          <w:tcPr>
            <w:tcW w:type="dxa" w:w="1728"/>
          </w:tcPr>
          <w:p>
            <w:r>
              <w:rPr>
                <w:rFonts w:ascii="Calibri" w:hAnsi="Calibri"/>
                <w:sz w:val="22"/>
              </w:rPr>
              <w:t>MSFT trough; chip selloff; CXMT IPO concerns</w:t>
            </w:r>
          </w:p>
        </w:tc>
      </w:tr>
      <w:tr>
        <w:tc>
          <w:tcPr>
            <w:tcW w:type="dxa" w:w="1728"/>
          </w:tcPr>
          <w:p>
            <w:r>
              <w:rPr>
                <w:rFonts w:ascii="Calibri" w:hAnsi="Calibri"/>
                <w:sz w:val="22"/>
              </w:rPr>
              <w:t>Jul 22, 2026</w:t>
            </w:r>
          </w:p>
        </w:tc>
        <w:tc>
          <w:tcPr>
            <w:tcW w:type="dxa" w:w="1728"/>
          </w:tcPr>
          <w:p>
            <w:r>
              <w:rPr>
                <w:rFonts w:ascii="Calibri" w:hAnsi="Calibri"/>
                <w:sz w:val="22"/>
              </w:rPr>
              <w:t>92.0</w:t>
            </w:r>
          </w:p>
        </w:tc>
        <w:tc>
          <w:tcPr>
            <w:tcW w:type="dxa" w:w="1728"/>
          </w:tcPr>
          <w:p>
            <w:r>
              <w:rPr>
                <w:rFonts w:ascii="Calibri" w:hAnsi="Calibri"/>
                <w:sz w:val="22"/>
              </w:rPr>
              <w:t>105.3</w:t>
            </w:r>
          </w:p>
        </w:tc>
        <w:tc>
          <w:tcPr>
            <w:tcW w:type="dxa" w:w="1728"/>
          </w:tcPr>
          <w:p>
            <w:r>
              <w:rPr>
                <w:rFonts w:ascii="Calibri" w:hAnsi="Calibri"/>
                <w:sz w:val="22"/>
              </w:rPr>
              <w:t>105.0</w:t>
            </w:r>
          </w:p>
        </w:tc>
        <w:tc>
          <w:tcPr>
            <w:tcW w:type="dxa" w:w="1728"/>
          </w:tcPr>
          <w:p>
            <w:r>
              <w:rPr>
                <w:rFonts w:ascii="Calibri" w:hAnsi="Calibri"/>
                <w:sz w:val="22"/>
              </w:rPr>
              <w:t>GOOGL Q2 earnings beat; cloud demand confirmed</w:t>
            </w:r>
          </w:p>
        </w:tc>
      </w:tr>
      <w:tr>
        <w:tc>
          <w:tcPr>
            <w:tcW w:type="dxa" w:w="1728"/>
          </w:tcPr>
          <w:p>
            <w:r>
              <w:rPr>
                <w:rFonts w:ascii="Calibri" w:hAnsi="Calibri"/>
                <w:sz w:val="22"/>
              </w:rPr>
              <w:t>Jul 29, 2026 (Pre-earnings)</w:t>
            </w:r>
          </w:p>
        </w:tc>
        <w:tc>
          <w:tcPr>
            <w:tcW w:type="dxa" w:w="1728"/>
          </w:tcPr>
          <w:p>
            <w:r>
              <w:rPr>
                <w:rFonts w:ascii="Calibri" w:hAnsi="Calibri"/>
                <w:sz w:val="22"/>
              </w:rPr>
              <w:t>92.7</w:t>
            </w:r>
          </w:p>
        </w:tc>
        <w:tc>
          <w:tcPr>
            <w:tcW w:type="dxa" w:w="1728"/>
          </w:tcPr>
          <w:p>
            <w:r>
              <w:rPr>
                <w:rFonts w:ascii="Calibri" w:hAnsi="Calibri"/>
                <w:sz w:val="22"/>
              </w:rPr>
              <w:t>108.6</w:t>
            </w:r>
          </w:p>
        </w:tc>
        <w:tc>
          <w:tcPr>
            <w:tcW w:type="dxa" w:w="1728"/>
          </w:tcPr>
          <w:p>
            <w:r>
              <w:rPr>
                <w:rFonts w:ascii="Calibri" w:hAnsi="Calibri"/>
                <w:sz w:val="22"/>
              </w:rPr>
              <w:t>104.1</w:t>
            </w:r>
          </w:p>
        </w:tc>
        <w:tc>
          <w:tcPr>
            <w:tcW w:type="dxa" w:w="1728"/>
          </w:tcPr>
          <w:p>
            <w:r>
              <w:rPr>
                <w:rFonts w:ascii="Calibri" w:hAnsi="Calibri"/>
                <w:sz w:val="22"/>
              </w:rPr>
              <w:t>Day of Q4 FY26 earnings</w:t>
            </w:r>
          </w:p>
        </w:tc>
      </w:tr>
    </w:tbl>
    <w:p>
      <w:r>
        <w:rPr>
          <w:rFonts w:ascii="Calibri" w:hAnsi="Calibri"/>
          <w:color w:val="525866"/>
          <w:sz w:val="22"/>
        </w:rPr>
        <w:t>Note: Indexed values computed from daily close prices. MSFT base: $424.46 (Apr 29); IGV base: $84.50; SPY base: $711.58. Source: Stock Price Data (Yahoo Finance).</w:t>
      </w:r>
    </w:p>
    <w:p>
      <w:r>
        <w:rPr>
          <w:rFonts w:ascii="Calibri" w:hAnsi="Calibri"/>
          <w:b/>
          <w:color w:val="525866"/>
          <w:sz w:val="22"/>
        </w:rPr>
        <w:t>Key Events Since Last Earnings:</w:t>
      </w:r>
    </w:p>
    <w:p>
      <w:pPr>
        <w:pStyle w:val="ListBullet"/>
        <w:ind w:left="360" w:hanging="360"/>
      </w:pPr>
      <w:r>
        <w:rPr>
          <w:rFonts w:ascii="Calibri" w:hAnsi="Calibri"/>
          <w:b/>
          <w:color w:val="525866"/>
          <w:sz w:val="22"/>
        </w:rPr>
        <w:t>Apr 27, 2026:</w:t>
      </w:r>
      <w:r>
        <w:rPr>
          <w:rFonts w:ascii="Calibri" w:hAnsi="Calibri"/>
          <w:color w:val="525866"/>
          <w:sz w:val="22"/>
        </w:rPr>
        <w:t xml:space="preserve"> OpenAI partnership restructured — MSFT eliminates revenue share payments to OpenAI; license becomes non-exclusive through 2032; OpenAI's revenue share to MSFT continues through 2030.</w:t>
      </w:r>
    </w:p>
    <w:p>
      <w:pPr>
        <w:pStyle w:val="ListBullet"/>
        <w:ind w:left="360" w:hanging="360"/>
      </w:pPr>
      <w:r>
        <w:rPr>
          <w:rFonts w:ascii="Calibri" w:hAnsi="Calibri"/>
          <w:b/>
          <w:color w:val="525866"/>
          <w:sz w:val="22"/>
        </w:rPr>
        <w:t>May 14, 2026:</w:t>
      </w:r>
      <w:r>
        <w:rPr>
          <w:rFonts w:ascii="Calibri" w:hAnsi="Calibri"/>
          <w:color w:val="525866"/>
          <w:sz w:val="22"/>
        </w:rPr>
        <w:t xml:space="preserve"> Carmine Di Sibio appointed to Board of Directors.</w:t>
      </w:r>
    </w:p>
    <w:p>
      <w:pPr>
        <w:pStyle w:val="ListBullet"/>
        <w:ind w:left="360" w:hanging="360"/>
      </w:pPr>
      <w:r>
        <w:rPr>
          <w:rFonts w:ascii="Calibri" w:hAnsi="Calibri"/>
          <w:b/>
          <w:color w:val="525866"/>
          <w:sz w:val="22"/>
        </w:rPr>
        <w:t>Jul 14, 2026:</w:t>
      </w:r>
      <w:r>
        <w:rPr>
          <w:rFonts w:ascii="Calibri" w:hAnsi="Calibri"/>
          <w:color w:val="525866"/>
          <w:sz w:val="22"/>
        </w:rPr>
        <w:t xml:space="preserve"> IBM pre-announcement shock (-25% in one day) dragged MSFT down ~3% on software sector contagion fears.</w:t>
      </w:r>
    </w:p>
    <w:p>
      <w:pPr>
        <w:pStyle w:val="ListBullet"/>
        <w:ind w:left="360" w:hanging="360"/>
      </w:pPr>
      <w:r>
        <w:rPr>
          <w:rFonts w:ascii="Calibri" w:hAnsi="Calibri"/>
          <w:b/>
          <w:color w:val="525866"/>
          <w:sz w:val="22"/>
        </w:rPr>
        <w:t>Jul 20, 2026:</w:t>
      </w:r>
      <w:r>
        <w:rPr>
          <w:rFonts w:ascii="Calibri" w:hAnsi="Calibri"/>
          <w:color w:val="525866"/>
          <w:sz w:val="22"/>
        </w:rPr>
        <w:t xml:space="preserve"> AMD announces MSFT as Helios AI rack customer — positive for Azure compute diversification.</w:t>
      </w:r>
    </w:p>
    <w:p>
      <w:pPr>
        <w:pStyle w:val="ListBullet"/>
        <w:ind w:left="360" w:hanging="360"/>
      </w:pPr>
      <w:r>
        <w:rPr>
          <w:rFonts w:ascii="Calibri" w:hAnsi="Calibri"/>
          <w:b/>
          <w:color w:val="525866"/>
          <w:sz w:val="22"/>
        </w:rPr>
        <w:t>Jul 22, 2026:</w:t>
      </w:r>
      <w:r>
        <w:rPr>
          <w:rFonts w:ascii="Calibri" w:hAnsi="Calibri"/>
          <w:color w:val="525866"/>
          <w:sz w:val="22"/>
        </w:rPr>
        <w:t xml:space="preserve"> Google Cloud Q2 revenue +82% YoY — validates enterprise AI demand but highlights competitive intensity.</w:t>
      </w:r>
    </w:p>
    <w:p>
      <w:pPr>
        <w:pStyle w:val="ListBullet"/>
        <w:ind w:left="360" w:hanging="360"/>
      </w:pPr>
      <w:r>
        <w:rPr>
          <w:rFonts w:ascii="Calibri" w:hAnsi="Calibri"/>
          <w:b/>
          <w:color w:val="525866"/>
          <w:sz w:val="22"/>
        </w:rPr>
        <w:t>Jul 27, 2026:</w:t>
      </w:r>
      <w:r>
        <w:rPr>
          <w:rFonts w:ascii="Calibri" w:hAnsi="Calibri"/>
          <w:color w:val="525866"/>
          <w:sz w:val="22"/>
        </w:rPr>
        <w:t xml:space="preserve"> MSFT launches MAI-Cyber-1-Flash cybersecurity model and Perception agentic security platform.</w:t>
      </w:r>
    </w:p>
    <w:p>
      <w:r>
        <w:rPr>
          <w:rFonts w:ascii="Calibri" w:hAnsi="Calibri"/>
          <w:i/>
          <w:color w:val="525866"/>
          <w:sz w:val="22"/>
        </w:rPr>
        <w:t>Source: Stock Price Data (Yahoo Finance); News Digest; MSFT 8-K filings.</w:t>
      </w:r>
    </w:p>
    <w:p>
      <w:r>
        <w:br w:type="page"/>
      </w:r>
    </w:p>
    <w:p>
      <w:pPr>
        <w:pStyle w:val="Heading2"/>
      </w:pPr>
      <w:r>
        <w:rPr>
          <w:rFonts w:ascii="Calibri" w:hAnsi="Calibri"/>
          <w:b/>
          <w:color w:val="3B4259"/>
          <w:sz w:val="28"/>
        </w:rPr>
        <w:t>6. Peer Commentaries &amp; Current-Quarter Read-Through</w:t>
      </w:r>
    </w:p>
    <w:p>
      <w:r>
        <w:rPr>
          <w:rFonts w:ascii="Calibri" w:hAnsi="Calibri"/>
          <w:b/>
          <w:color w:val="525866"/>
          <w:sz w:val="22"/>
        </w:rPr>
        <w:t xml:space="preserve">Key Takeaway: </w:t>
      </w:r>
      <w:r>
        <w:rPr>
          <w:rFonts w:ascii="Calibri" w:hAnsi="Calibri"/>
          <w:color w:val="525866"/>
          <w:sz w:val="22"/>
        </w:rPr>
        <w:t xml:space="preserve">Peer results for the June 2026 quarter are broadly positive for MSFT's setup — </w:t>
      </w:r>
    </w:p>
    <w:p>
      <w:r>
        <w:rPr>
          <w:rFonts w:ascii="Calibri" w:hAnsi="Calibri"/>
          <w:b/>
          <w:color w:val="525866"/>
          <w:sz w:val="22"/>
        </w:rPr>
        <w:t>Google Cloud's 82% growth and ServiceNow's AI ACV crossing $1B</w:t>
      </w:r>
      <w:r>
        <w:rPr>
          <w:rFonts w:ascii="Calibri" w:hAnsi="Calibri"/>
          <w:color w:val="525866"/>
          <w:sz w:val="22"/>
        </w:rPr>
        <w:t xml:space="preserve"> confirm robust enterprise AI demand, while IBM's miss (driven by customer budget reallocation to hardware/memory) is a company-specific issue that does not impair MSFT's cloud or AI thesis. SAP's 26% cloud backlog growth and deepening AI integration across enterprise workflows further validate the enterprise AI adoption cycle that underpins Azure and M365 Copilot growth.</w:t>
      </w:r>
    </w:p>
    <w:p>
      <w:r>
        <w:rPr>
          <w:rFonts w:ascii="Calibri" w:hAnsi="Calibri"/>
          <w:i/>
          <w:color w:val="525866"/>
          <w:sz w:val="22"/>
        </w:rPr>
        <w:t>Note: Only commentary from peers' June 2026 quarter results (reported July 2026) is included below. Prior-quarter retrospective commentary and subsequent-quarter guidance from peers are excluded.</w:t>
      </w:r>
    </w:p>
    <w:p>
      <w:pPr>
        <w:pStyle w:val="Heading3"/>
      </w:pPr>
      <w:r>
        <w:rPr>
          <w:rFonts w:ascii="Calibri" w:hAnsi="Calibri"/>
          <w:b/>
          <w:color w:val="3B4259"/>
          <w:sz w:val="24"/>
        </w:rPr>
        <w:t>Alphabet / Google Cloud (GOOGL) — Q2 2026 (June Quarter), Reported July 22, 2026</w:t>
      </w:r>
    </w:p>
    <w:p>
      <w:r>
        <w:rPr>
          <w:rFonts w:ascii="Calibri" w:hAnsi="Calibri"/>
          <w:b/>
          <w:color w:val="525866"/>
          <w:sz w:val="22"/>
        </w:rPr>
        <w:t xml:space="preserve">Read-Through Signal: </w:t>
      </w:r>
      <w:r>
        <w:rPr>
          <w:rFonts w:ascii="Calibri" w:hAnsi="Calibri"/>
          <w:color w:val="525866"/>
          <w:sz w:val="22"/>
        </w:rPr>
        <w:t>Strongly Positive for Azure AI demand; Cautionary on competitive intensity.</w:t>
      </w:r>
    </w:p>
    <w:p>
      <w:pPr>
        <w:pStyle w:val="ListBullet"/>
        <w:ind w:left="360" w:hanging="360"/>
      </w:pPr>
      <w:r>
        <w:rPr>
          <w:rFonts w:ascii="Calibri" w:hAnsi="Calibri"/>
          <w:b/>
          <w:color w:val="525866"/>
          <w:sz w:val="22"/>
        </w:rPr>
        <w:t>Google Cloud revenue +82% YoY to $24.8B in Q2 2026</w:t>
      </w:r>
      <w:r>
        <w:rPr>
          <w:rFonts w:ascii="Calibri" w:hAnsi="Calibri"/>
          <w:color w:val="525866"/>
          <w:sz w:val="22"/>
        </w:rPr>
        <w:t>, driven primarily by GCP (which grew faster than overall Cloud). Cloud revenue growth accelerated meaningfully even excluding TPU system sales. This is the strongest read-through for enterprise AI cloud demand heading into MSFT's print.</w:t>
      </w:r>
    </w:p>
    <w:p>
      <w:pPr>
        <w:pStyle w:val="ListBullet"/>
        <w:ind w:left="360" w:hanging="360"/>
      </w:pPr>
      <w:r>
        <w:rPr>
          <w:rFonts w:ascii="Calibri" w:hAnsi="Calibri"/>
          <w:b/>
          <w:color w:val="525866"/>
          <w:sz w:val="22"/>
        </w:rPr>
        <w:t>Cloud operating margin expanded from 20.7% to 35.6% YoY</w:t>
      </w:r>
      <w:r>
        <w:rPr>
          <w:rFonts w:ascii="Calibri" w:hAnsi="Calibri"/>
          <w:color w:val="525866"/>
          <w:sz w:val="22"/>
        </w:rPr>
        <w:t xml:space="preserve"> — a stark contrast to MSFT's guided ~64% Microsoft Cloud gross margin (down YoY). Google's margin expansion validates that AI cloud economics improve over time, which is constructive for MSFT's long-term margin narrative, but also highlights that Google is monetizing AI infrastructure more efficiently in the near term.</w:t>
      </w:r>
    </w:p>
    <w:p>
      <w:pPr>
        <w:pStyle w:val="ListBullet"/>
        <w:ind w:left="360" w:hanging="360"/>
      </w:pPr>
      <w:r>
        <w:rPr>
          <w:rFonts w:ascii="Calibri" w:hAnsi="Calibri"/>
          <w:b/>
          <w:color w:val="525866"/>
          <w:sz w:val="22"/>
        </w:rPr>
        <w:t>Google Cloud backlog +$50B sequentially to $514B</w:t>
      </w:r>
      <w:r>
        <w:rPr>
          <w:rFonts w:ascii="Calibri" w:hAnsi="Calibri"/>
          <w:color w:val="525866"/>
          <w:sz w:val="22"/>
        </w:rPr>
        <w:t xml:space="preserve"> — comparable to MSFT's $627B commercial RPO (though MSFT's includes ~45% OpenAI concentration). Google's backlog growth from a "broad mix of customers" is a cleaner demand signal.</w:t>
      </w:r>
    </w:p>
    <w:p>
      <w:pPr>
        <w:pStyle w:val="ListBullet"/>
        <w:ind w:left="360" w:hanging="360"/>
      </w:pPr>
      <w:r>
        <w:rPr>
          <w:rFonts w:ascii="Calibri" w:hAnsi="Calibri"/>
          <w:b/>
          <w:color w:val="525866"/>
          <w:sz w:val="22"/>
        </w:rPr>
        <w:t>Supply constrained environment confirmed</w:t>
      </w:r>
      <w:r>
        <w:rPr>
          <w:rFonts w:ascii="Calibri" w:hAnsi="Calibri"/>
          <w:color w:val="525866"/>
          <w:sz w:val="22"/>
        </w:rPr>
        <w:t>: Google stated it "continues to be supply constrained" and plans to expand use of third-party capacity in Q3 as a bridging strategy. This validates MSFT's own supply-gated demand thesis and suggests Azure's capacity-constrained growth is a market-wide phenomenon, not a MSFT-specific issue.</w:t>
      </w:r>
    </w:p>
    <w:p>
      <w:pPr>
        <w:pStyle w:val="ListBullet"/>
        <w:ind w:left="360" w:hanging="360"/>
      </w:pPr>
      <w:r>
        <w:rPr>
          <w:rFonts w:ascii="Calibri" w:hAnsi="Calibri"/>
          <w:b/>
          <w:color w:val="525866"/>
          <w:sz w:val="22"/>
        </w:rPr>
        <w:t>Nearly 90% of Fortune 100 using Gemini Enterprise</w:t>
      </w:r>
      <w:r>
        <w:rPr>
          <w:rFonts w:ascii="Calibri" w:hAnsi="Calibri"/>
          <w:color w:val="525866"/>
          <w:sz w:val="22"/>
        </w:rPr>
        <w:t xml:space="preserve"> — direct competitive pressure on M365 Copilot's enterprise AI positioning. MSFT will need to demonstrate continued Copilot seat momentum (guided to increase sequentially in Q4) to counter this narrative.</w:t>
      </w:r>
    </w:p>
    <w:p>
      <w:pPr>
        <w:pStyle w:val="ListBullet"/>
        <w:ind w:left="360" w:hanging="360"/>
      </w:pPr>
      <w:r>
        <w:rPr>
          <w:rFonts w:ascii="Calibri" w:hAnsi="Calibri"/>
          <w:b/>
          <w:color w:val="525866"/>
          <w:sz w:val="22"/>
        </w:rPr>
        <w:t>CapEx $44.9B in Q2 2026</w:t>
      </w:r>
      <w:r>
        <w:rPr>
          <w:rFonts w:ascii="Calibri" w:hAnsi="Calibri"/>
          <w:color w:val="525866"/>
          <w:sz w:val="22"/>
        </w:rPr>
        <w:t xml:space="preserve"> (negative FCF of -$5.9B) — Google is spending more aggressively than MSFT on a quarterly basis, which contextualizes MSFT's &gt;$40B Q4 CapEx as competitive necessity rather than excess.</w:t>
      </w:r>
    </w:p>
    <w:p>
      <w:r>
        <w:rPr>
          <w:rFonts w:ascii="Calibri" w:hAnsi="Calibri"/>
          <w:i/>
          <w:color w:val="525866"/>
          <w:sz w:val="22"/>
        </w:rPr>
        <w:t>Source: GOOGL Q2 2026 Earnings Call Transcript (July 22, 2026).</w:t>
      </w:r>
    </w:p>
    <w:p>
      <w:pPr>
        <w:pStyle w:val="Heading3"/>
      </w:pPr>
      <w:r>
        <w:rPr>
          <w:rFonts w:ascii="Calibri" w:hAnsi="Calibri"/>
          <w:b/>
          <w:color w:val="3B4259"/>
          <w:sz w:val="24"/>
        </w:rPr>
        <w:t>ServiceNow (NOW) — Q2 2026 (June Quarter), Reported July 22, 2026</w:t>
      </w:r>
    </w:p>
    <w:p>
      <w:r>
        <w:rPr>
          <w:rFonts w:ascii="Calibri" w:hAnsi="Calibri"/>
          <w:b/>
          <w:color w:val="525866"/>
          <w:sz w:val="22"/>
        </w:rPr>
        <w:t xml:space="preserve">Read-Through Signal: </w:t>
      </w:r>
      <w:r>
        <w:rPr>
          <w:rFonts w:ascii="Calibri" w:hAnsi="Calibri"/>
          <w:color w:val="525866"/>
          <w:sz w:val="22"/>
        </w:rPr>
        <w:t>Positive for M365 Copilot and Azure; Validates enterprise AI monetization thesis.</w:t>
      </w:r>
    </w:p>
    <w:p>
      <w:pPr>
        <w:pStyle w:val="ListBullet"/>
        <w:ind w:left="360" w:hanging="360"/>
      </w:pPr>
      <w:r>
        <w:rPr>
          <w:rFonts w:ascii="Calibri" w:hAnsi="Calibri"/>
          <w:b/>
          <w:color w:val="525866"/>
          <w:sz w:val="22"/>
        </w:rPr>
        <w:t>ServiceNow AI ACV surpassed $1B in Q2 2026</w:t>
      </w:r>
      <w:r>
        <w:rPr>
          <w:rFonts w:ascii="Calibri" w:hAnsi="Calibri"/>
          <w:color w:val="525866"/>
          <w:sz w:val="22"/>
        </w:rPr>
        <w:t>, with net new ACV growth accelerating 40%+ QoQ. The company is on track to beat its $1.5B ACV target by year-end 2026. This is a direct positive read-through for MSFT's M365 Copilot monetization — enterprise AI is converting to paid ACV at scale.</w:t>
      </w:r>
    </w:p>
    <w:p>
      <w:pPr>
        <w:pStyle w:val="ListBullet"/>
        <w:ind w:left="360" w:hanging="360"/>
      </w:pPr>
      <w:r>
        <w:rPr>
          <w:rFonts w:ascii="Calibri" w:hAnsi="Calibri"/>
          <w:b/>
          <w:color w:val="525866"/>
          <w:sz w:val="22"/>
        </w:rPr>
        <w:t>50% of net new business is already non-seat-based</w:t>
      </w:r>
      <w:r>
        <w:rPr>
          <w:rFonts w:ascii="Calibri" w:hAnsi="Calibri"/>
          <w:color w:val="525866"/>
          <w:sz w:val="22"/>
        </w:rPr>
        <w:t xml:space="preserve"> — validates MSFT's own transition to usage-based pricing for GitHub Copilot (effective June 1, 2026) and the broader seat-to-consumption model shift management described on the Q3 call.</w:t>
      </w:r>
    </w:p>
    <w:p>
      <w:pPr>
        <w:pStyle w:val="ListBullet"/>
        <w:ind w:left="360" w:hanging="360"/>
      </w:pPr>
      <w:r>
        <w:rPr>
          <w:rFonts w:ascii="Calibri" w:hAnsi="Calibri"/>
          <w:b/>
          <w:color w:val="525866"/>
          <w:sz w:val="22"/>
        </w:rPr>
        <w:t>Deeper integration of ServiceNow AI Control Tower and Microsoft Agent 365</w:t>
      </w:r>
      <w:r>
        <w:rPr>
          <w:rFonts w:ascii="Calibri" w:hAnsi="Calibri"/>
          <w:color w:val="525866"/>
          <w:sz w:val="22"/>
        </w:rPr>
        <w:t xml:space="preserve"> explicitly called out — extending agentic AI governance from desktops to data centers via Project Ark. This is a direct commercial partnership validation for MSFT's Agent 365 platform, which was launched in Q3.</w:t>
      </w:r>
    </w:p>
    <w:p>
      <w:pPr>
        <w:pStyle w:val="ListBullet"/>
        <w:ind w:left="360" w:hanging="360"/>
      </w:pPr>
      <w:r>
        <w:rPr>
          <w:rFonts w:ascii="Calibri" w:hAnsi="Calibri"/>
          <w:b/>
          <w:color w:val="525866"/>
          <w:sz w:val="22"/>
        </w:rPr>
        <w:t>Subscription revenues +23% YoY CC, 150bps above guidance high end</w:t>
      </w:r>
      <w:r>
        <w:rPr>
          <w:rFonts w:ascii="Calibri" w:hAnsi="Calibri"/>
          <w:color w:val="525866"/>
          <w:sz w:val="22"/>
        </w:rPr>
        <w:t>; RPO +22% YoY CC to ~$29B; renewal rate 98%. The durability of enterprise software demand is intact despite AI disruption fears.</w:t>
      </w:r>
    </w:p>
    <w:p>
      <w:pPr>
        <w:pStyle w:val="ListBullet"/>
        <w:ind w:left="360" w:hanging="360"/>
      </w:pPr>
      <w:r>
        <w:rPr>
          <w:rFonts w:ascii="Calibri" w:hAnsi="Calibri"/>
          <w:b/>
          <w:color w:val="525866"/>
          <w:sz w:val="22"/>
        </w:rPr>
        <w:t>Gross margin pressure from hyperscaler usage ramp</w:t>
      </w:r>
      <w:r>
        <w:rPr>
          <w:rFonts w:ascii="Calibri" w:hAnsi="Calibri"/>
          <w:color w:val="525866"/>
          <w:sz w:val="22"/>
        </w:rPr>
        <w:t>: ServiceNow noted "more customers utilizing our Hyperscaler partnerships" as a gross margin headwind, and that "as we continue to ramp and more and more goes to hyperscalers, the cost per comes down." This is a direct Azure consumption tailwind — ServiceNow's AI workloads are flowing through hyperscalers including Azure.</w:t>
      </w:r>
    </w:p>
    <w:p>
      <w:pPr>
        <w:pStyle w:val="ListBullet"/>
        <w:ind w:left="360" w:hanging="360"/>
      </w:pPr>
      <w:r>
        <w:rPr>
          <w:rFonts w:ascii="Calibri" w:hAnsi="Calibri"/>
          <w:b/>
          <w:color w:val="525866"/>
          <w:sz w:val="22"/>
        </w:rPr>
        <w:t>Customers with Agentic AI in production grew 9x over the last 9 months</w:t>
      </w:r>
      <w:r>
        <w:rPr>
          <w:rFonts w:ascii="Calibri" w:hAnsi="Calibri"/>
          <w:color w:val="525866"/>
          <w:sz w:val="22"/>
        </w:rPr>
        <w:t xml:space="preserve"> — the agentic AI adoption cycle is accelerating, which is the core thesis for MSFT's Agent 365 and Work IQ positioning.</w:t>
      </w:r>
    </w:p>
    <w:p>
      <w:r>
        <w:rPr>
          <w:rFonts w:ascii="Calibri" w:hAnsi="Calibri"/>
          <w:i/>
          <w:color w:val="525866"/>
          <w:sz w:val="22"/>
        </w:rPr>
        <w:t>Source: NOW Q2 2026 Earnings Call Transcript (July 22, 2026).</w:t>
      </w:r>
    </w:p>
    <w:p>
      <w:pPr>
        <w:pStyle w:val="Heading3"/>
      </w:pPr>
      <w:r>
        <w:rPr>
          <w:rFonts w:ascii="Calibri" w:hAnsi="Calibri"/>
          <w:b/>
          <w:color w:val="3B4259"/>
          <w:sz w:val="24"/>
        </w:rPr>
        <w:t>SAP SE (SAP) — Q2 2026 (June Quarter), Reported July 23, 2026</w:t>
      </w:r>
    </w:p>
    <w:p>
      <w:r>
        <w:rPr>
          <w:rFonts w:ascii="Calibri" w:hAnsi="Calibri"/>
          <w:b/>
          <w:color w:val="525866"/>
          <w:sz w:val="22"/>
        </w:rPr>
        <w:t xml:space="preserve">Read-Through Signal: </w:t>
      </w:r>
      <w:r>
        <w:rPr>
          <w:rFonts w:ascii="Calibri" w:hAnsi="Calibri"/>
          <w:color w:val="525866"/>
          <w:sz w:val="22"/>
        </w:rPr>
        <w:t>Positive for enterprise cloud demand; Validates AI monetization through agents.</w:t>
      </w:r>
    </w:p>
    <w:p>
      <w:pPr>
        <w:pStyle w:val="ListBullet"/>
        <w:ind w:left="360" w:hanging="360"/>
      </w:pPr>
      <w:r>
        <w:rPr>
          <w:rFonts w:ascii="Calibri" w:hAnsi="Calibri"/>
          <w:b/>
          <w:color w:val="525866"/>
          <w:sz w:val="22"/>
        </w:rPr>
        <w:t>Current Cloud Backlog (CCB) +26% to ~€23B in Q2 2026</w:t>
      </w:r>
      <w:r>
        <w:rPr>
          <w:rFonts w:ascii="Calibri" w:hAnsi="Calibri"/>
          <w:color w:val="525866"/>
          <w:sz w:val="22"/>
        </w:rPr>
        <w:t xml:space="preserve"> — an acceleration vs. Q1 and a "welcome trend reversal" after two quarters where CCB lagged cloud revenue growth. This is a leading indicator of enterprise cloud demand health that is constructive for Azure's commercial bookings trajectory.</w:t>
      </w:r>
    </w:p>
    <w:p>
      <w:pPr>
        <w:pStyle w:val="ListBullet"/>
        <w:ind w:left="360" w:hanging="360"/>
      </w:pPr>
      <w:r>
        <w:rPr>
          <w:rFonts w:ascii="Calibri" w:hAnsi="Calibri"/>
          <w:b/>
          <w:color w:val="525866"/>
          <w:sz w:val="22"/>
        </w:rPr>
        <w:t>Cloud revenue +24% to €6.3B</w:t>
      </w:r>
      <w:r>
        <w:rPr>
          <w:rFonts w:ascii="Calibri" w:hAnsi="Calibri"/>
          <w:color w:val="525866"/>
          <w:sz w:val="22"/>
        </w:rPr>
        <w:t>, with SaaS/PaaS +27% and now 88% of total cloud revenue. SAP noted no major macro headwinds to CCB growth despite a "complex and uncertain operating environment."</w:t>
      </w:r>
    </w:p>
    <w:p>
      <w:pPr>
        <w:pStyle w:val="ListBullet"/>
        <w:ind w:left="360" w:hanging="360"/>
      </w:pPr>
      <w:r>
        <w:rPr>
          <w:rFonts w:ascii="Calibri" w:hAnsi="Calibri"/>
          <w:b/>
          <w:color w:val="525866"/>
          <w:sz w:val="22"/>
        </w:rPr>
        <w:t>AI and SAP Business Data Cloud embedded in &gt;90% of SAP's 50 largest deals</w:t>
      </w:r>
      <w:r>
        <w:rPr>
          <w:rFonts w:ascii="Calibri" w:hAnsi="Calibri"/>
          <w:color w:val="525866"/>
          <w:sz w:val="22"/>
        </w:rPr>
        <w:t xml:space="preserve"> — enterprise AI is becoming a standard component of large software deals, validating MSFT's strategy of embedding Copilot across M365, Dynamics 365, and Azure.</w:t>
      </w:r>
    </w:p>
    <w:p>
      <w:pPr>
        <w:pStyle w:val="ListBullet"/>
        <w:ind w:left="360" w:hanging="360"/>
      </w:pPr>
      <w:r>
        <w:rPr>
          <w:rFonts w:ascii="Calibri" w:hAnsi="Calibri"/>
          <w:b/>
          <w:color w:val="525866"/>
          <w:sz w:val="22"/>
        </w:rPr>
        <w:t>SAP's multi-LLM approach includes OpenAI models</w:t>
      </w:r>
      <w:r>
        <w:rPr>
          <w:rFonts w:ascii="Calibri" w:hAnsi="Calibri"/>
          <w:color w:val="525866"/>
          <w:sz w:val="22"/>
        </w:rPr>
        <w:t xml:space="preserve"> — reinforcing the importance of platform flexibility and choice for enterprise customers, aligning with MSFT's broad AI ecosystem strategy (Foundry, 11,000+ models).</w:t>
      </w:r>
    </w:p>
    <w:p>
      <w:pPr>
        <w:pStyle w:val="ListBullet"/>
        <w:ind w:left="360" w:hanging="360"/>
      </w:pPr>
      <w:r>
        <w:rPr>
          <w:rFonts w:ascii="Calibri" w:hAnsi="Calibri"/>
          <w:b/>
          <w:color w:val="525866"/>
          <w:sz w:val="22"/>
        </w:rPr>
        <w:t>Customer outcomes demonstrating tangible AI ROI</w:t>
      </w:r>
      <w:r>
        <w:rPr>
          <w:rFonts w:ascii="Calibri" w:hAnsi="Calibri"/>
          <w:color w:val="525866"/>
          <w:sz w:val="22"/>
        </w:rPr>
        <w:t>: 75% faster accounting close (Dexcom), 90% touchless processing (Lemvigh-müller), 35-minute task reduced to 5 minutes (PwC). These concrete enterprise AI outcomes validate the productivity narrative MSFT uses to justify M365 Copilot pricing.</w:t>
      </w:r>
    </w:p>
    <w:p>
      <w:pPr>
        <w:pStyle w:val="ListBullet"/>
        <w:ind w:left="360" w:hanging="360"/>
      </w:pPr>
      <w:r>
        <w:rPr>
          <w:rFonts w:ascii="Calibri" w:hAnsi="Calibri"/>
          <w:b/>
          <w:color w:val="525866"/>
          <w:sz w:val="22"/>
        </w:rPr>
        <w:t>R&amp;D costs up 14% YoY vs. headcount up only 3%</w:t>
      </w:r>
      <w:r>
        <w:rPr>
          <w:rFonts w:ascii="Calibri" w:hAnsi="Calibri"/>
          <w:color w:val="525866"/>
          <w:sz w:val="22"/>
        </w:rPr>
        <w:t xml:space="preserve"> — the "token effect" (AI token consumption charged to functions) is a real cost driver across enterprise software companies, consistent with MSFT's Microsoft Cloud gross margin pressure from GitHub Copilot usage.</w:t>
      </w:r>
    </w:p>
    <w:p>
      <w:r>
        <w:rPr>
          <w:rFonts w:ascii="Calibri" w:hAnsi="Calibri"/>
          <w:i/>
          <w:color w:val="525866"/>
          <w:sz w:val="22"/>
        </w:rPr>
        <w:t>Source: SAP Q2 2026 Earnings Call Transcript (July 23, 2026).</w:t>
      </w:r>
    </w:p>
    <w:p>
      <w:pPr>
        <w:pStyle w:val="Heading3"/>
      </w:pPr>
      <w:r>
        <w:rPr>
          <w:rFonts w:ascii="Calibri" w:hAnsi="Calibri"/>
          <w:b/>
          <w:color w:val="3B4259"/>
          <w:sz w:val="24"/>
        </w:rPr>
        <w:t>IBM (IBM) — Q2 2026 (June Quarter), Reported July 22, 2026</w:t>
      </w:r>
    </w:p>
    <w:p>
      <w:r>
        <w:rPr>
          <w:rFonts w:ascii="Calibri" w:hAnsi="Calibri"/>
          <w:b/>
          <w:color w:val="525866"/>
          <w:sz w:val="22"/>
        </w:rPr>
        <w:t xml:space="preserve">Read-Through Signal: </w:t>
      </w:r>
      <w:r>
        <w:rPr>
          <w:rFonts w:ascii="Calibri" w:hAnsi="Calibri"/>
          <w:color w:val="525866"/>
          <w:sz w:val="22"/>
        </w:rPr>
        <w:t>Mixed — Company-specific miss; Validates AI infrastructure demand but flags software budget displacement risk.</w:t>
      </w:r>
    </w:p>
    <w:p>
      <w:pPr>
        <w:pStyle w:val="ListBullet"/>
        <w:ind w:left="360" w:hanging="360"/>
      </w:pPr>
      <w:r>
        <w:rPr>
          <w:rFonts w:ascii="Calibri" w:hAnsi="Calibri"/>
          <w:b/>
          <w:color w:val="525866"/>
          <w:sz w:val="22"/>
        </w:rPr>
        <w:t>IBM Q2 revenue $17.2B, missed consensus of $17.5B</w:t>
      </w:r>
      <w:r>
        <w:rPr>
          <w:rFonts w:ascii="Calibri" w:hAnsi="Calibri"/>
          <w:color w:val="525866"/>
          <w:sz w:val="22"/>
        </w:rPr>
        <w:t>; full-year revenue guidance cut to 4-5% CC growth (from &gt;5%). Infrastructure revenue -7% YoY; software +5%; consulting flat. IBM shares fell 25% on the pre-announcement (July 14).</w:t>
      </w:r>
    </w:p>
    <w:p>
      <w:pPr>
        <w:pStyle w:val="ListBullet"/>
        <w:ind w:left="360" w:hanging="360"/>
      </w:pPr>
      <w:r>
        <w:rPr>
          <w:rFonts w:ascii="Calibri" w:hAnsi="Calibri"/>
          <w:b/>
          <w:color w:val="525866"/>
          <w:sz w:val="22"/>
        </w:rPr>
        <w:t>Key read-through: Customers redirected spending toward servers, storage, and memory purchases</w:t>
      </w:r>
      <w:r>
        <w:rPr>
          <w:rFonts w:ascii="Calibri" w:hAnsi="Calibri"/>
          <w:color w:val="525866"/>
          <w:sz w:val="22"/>
        </w:rPr>
        <w:t xml:space="preserve"> to secure supply-constrained infrastructure ahead of expected price increases. CEO Krishna: "In the last few weeks of June, we saw clients shift their quarterly capex spend toward servers, storage, and memory purchases." This is a company-specific execution issue (IBM's mainframe cycle), NOT a signal of broad enterprise software demand weakness.</w:t>
      </w:r>
    </w:p>
    <w:p>
      <w:pPr>
        <w:pStyle w:val="ListBullet"/>
        <w:ind w:left="360" w:hanging="360"/>
      </w:pPr>
      <w:r>
        <w:rPr>
          <w:rFonts w:ascii="Calibri" w:hAnsi="Calibri"/>
          <w:b/>
          <w:color w:val="525866"/>
          <w:sz w:val="22"/>
        </w:rPr>
        <w:t>Generative AI represented ~50% of IBM consulting signings in Q2 2026</w:t>
      </w:r>
      <w:r>
        <w:rPr>
          <w:rFonts w:ascii="Calibri" w:hAnsi="Calibri"/>
          <w:color w:val="525866"/>
          <w:sz w:val="22"/>
        </w:rPr>
        <w:t xml:space="preserve"> and now makes up &gt;30% of IBM's consulting backlog — enterprise AI adoption is accelerating in services, which is constructive for MSFT's Azure AI and Copilot positioning.</w:t>
      </w:r>
    </w:p>
    <w:p>
      <w:pPr>
        <w:pStyle w:val="ListBullet"/>
        <w:ind w:left="360" w:hanging="360"/>
      </w:pPr>
      <w:r>
        <w:rPr>
          <w:rFonts w:ascii="Calibri" w:hAnsi="Calibri"/>
          <w:b/>
          <w:color w:val="525866"/>
          <w:sz w:val="22"/>
        </w:rPr>
        <w:t>Subscription and consumption-based software "largely unaffected" by CapEx dynamics</w:t>
      </w:r>
      <w:r>
        <w:rPr>
          <w:rFonts w:ascii="Calibri" w:hAnsi="Calibri"/>
          <w:color w:val="525866"/>
          <w:sz w:val="22"/>
        </w:rPr>
        <w:t xml:space="preserve"> — IBM's recurring software ARR ($24.6B, +8% YoY) held up well. This validates the resilience of MSFT's annuity-based M365 and Azure revenue streams.</w:t>
      </w:r>
    </w:p>
    <w:p>
      <w:pPr>
        <w:pStyle w:val="ListBullet"/>
        <w:ind w:left="360" w:hanging="360"/>
      </w:pPr>
      <w:r>
        <w:rPr>
          <w:rFonts w:ascii="Calibri" w:hAnsi="Calibri"/>
          <w:b/>
          <w:color w:val="525866"/>
          <w:sz w:val="22"/>
        </w:rPr>
        <w:t>Distributed infrastructure +37% YoY — best quarter on record</w:t>
      </w:r>
      <w:r>
        <w:rPr>
          <w:rFonts w:ascii="Calibri" w:hAnsi="Calibri"/>
          <w:color w:val="525866"/>
          <w:sz w:val="22"/>
        </w:rPr>
        <w:t xml:space="preserve"> — AI-driven infrastructure demand is real and accelerating. IBM exited Q2 with ~$500M distributed infrastructure backlog (record high). This is a positive read-through for Azure IaaS demand.</w:t>
      </w:r>
    </w:p>
    <w:p>
      <w:pPr>
        <w:pStyle w:val="ListBullet"/>
        <w:ind w:left="360" w:hanging="360"/>
      </w:pPr>
      <w:r>
        <w:rPr>
          <w:rFonts w:ascii="Calibri" w:hAnsi="Calibri"/>
          <w:b/>
          <w:color w:val="525866"/>
          <w:sz w:val="22"/>
        </w:rPr>
        <w:t>IBM CEO: "Prices for a lot of infrastructure components have gone way up"</w:t>
      </w:r>
      <w:r>
        <w:rPr>
          <w:rFonts w:ascii="Calibri" w:hAnsi="Calibri"/>
          <w:color w:val="525866"/>
          <w:sz w:val="22"/>
        </w:rPr>
        <w:t xml:space="preserve"> — directly validates MSFT's disclosure that ~$5B of Q4 CapEx increase is from higher component pricing (GPUs, CPUs, memory). The cost inflation is industry-wide.</w:t>
      </w:r>
    </w:p>
    <w:p>
      <w:r>
        <w:rPr>
          <w:rFonts w:ascii="Calibri" w:hAnsi="Calibri"/>
          <w:i/>
          <w:color w:val="525866"/>
          <w:sz w:val="22"/>
        </w:rPr>
        <w:t>Source: IBM Q2 2026 Earnings Call Transcript (July 22, 2026); IBM Q2 2026 Earnings Release (July 22, 2026).</w:t>
      </w:r>
    </w:p>
    <w:p>
      <w:pPr>
        <w:pStyle w:val="Heading3"/>
      </w:pPr>
      <w:r>
        <w:rPr>
          <w:rFonts w:ascii="Calibri" w:hAnsi="Calibri"/>
          <w:b/>
          <w:color w:val="3B4259"/>
          <w:sz w:val="24"/>
        </w:rPr>
        <w:t>Oracle (ORCL) — Q4 FY2026 (May Quarter), Reported June 10, 2026</w:t>
      </w:r>
    </w:p>
    <w:p>
      <w:r>
        <w:rPr>
          <w:rFonts w:ascii="Calibri" w:hAnsi="Calibri"/>
          <w:b/>
          <w:color w:val="525866"/>
          <w:sz w:val="22"/>
        </w:rPr>
        <w:t xml:space="preserve">Read-Through Signal: </w:t>
      </w:r>
      <w:r>
        <w:rPr>
          <w:rFonts w:ascii="Calibri" w:hAnsi="Calibri"/>
          <w:color w:val="525866"/>
          <w:sz w:val="22"/>
        </w:rPr>
        <w:t>Positive for cloud infrastructure demand; Cautionary on balance sheet risk from aggressive CapEx.</w:t>
      </w:r>
    </w:p>
    <w:p>
      <w:pPr>
        <w:pStyle w:val="ListBullet"/>
        <w:ind w:left="360" w:hanging="360"/>
      </w:pPr>
      <w:r>
        <w:rPr>
          <w:rFonts w:ascii="Calibri" w:hAnsi="Calibri"/>
          <w:b/>
          <w:color w:val="525866"/>
          <w:sz w:val="22"/>
        </w:rPr>
        <w:t>Oracle Cloud revenue +47% YoY in Q4 FY2026</w:t>
      </w:r>
      <w:r>
        <w:rPr>
          <w:rFonts w:ascii="Calibri" w:hAnsi="Calibri"/>
          <w:color w:val="525866"/>
          <w:sz w:val="22"/>
        </w:rPr>
        <w:t xml:space="preserve"> — strong cloud growth validates enterprise migration to cloud infrastructure. Oracle won a 10-year, ~$7B Pentagon software contract (announced July 23), demonstrating continued government cloud demand.</w:t>
      </w:r>
    </w:p>
    <w:p>
      <w:pPr>
        <w:pStyle w:val="ListBullet"/>
        <w:ind w:left="360" w:hanging="360"/>
      </w:pPr>
      <w:r>
        <w:rPr>
          <w:rFonts w:ascii="Calibri" w:hAnsi="Calibri"/>
          <w:b/>
          <w:color w:val="525866"/>
          <w:sz w:val="22"/>
        </w:rPr>
        <w:t>Oracle's debt protection costs hit near 18-year highs</w:t>
      </w:r>
      <w:r>
        <w:rPr>
          <w:rFonts w:ascii="Calibri" w:hAnsi="Calibri"/>
          <w:color w:val="525866"/>
          <w:sz w:val="22"/>
        </w:rPr>
        <w:t xml:space="preserve"> amid concerns about its deteriorating balance sheet and massive CapEx commitments. This is a cautionary read-through for MSFT — the market is increasingly scrutinizing the ROI on hyperscaler CapEx, and any further escalation in MSFT's CY2026 $190B CapEx guidance could trigger similar credit/valuation concerns.</w:t>
      </w:r>
    </w:p>
    <w:p>
      <w:pPr>
        <w:pStyle w:val="ListBullet"/>
        <w:ind w:left="360" w:hanging="360"/>
      </w:pPr>
      <w:r>
        <w:rPr>
          <w:rFonts w:ascii="Calibri" w:hAnsi="Calibri"/>
          <w:b/>
          <w:color w:val="525866"/>
          <w:sz w:val="22"/>
        </w:rPr>
        <w:t>Oracle reported significant cost overruns and delays in data center construction</w:t>
      </w:r>
      <w:r>
        <w:rPr>
          <w:rFonts w:ascii="Calibri" w:hAnsi="Calibri"/>
          <w:color w:val="525866"/>
          <w:sz w:val="22"/>
        </w:rPr>
        <w:t xml:space="preserve"> (per The Information, July 20) — a cautionary signal for MSFT's own data center buildout execution, though MSFT's Fairwater data center came online 6 weeks ahead of schedule in Q3, suggesting better execution.</w:t>
      </w:r>
    </w:p>
    <w:p>
      <w:r>
        <w:rPr>
          <w:rFonts w:ascii="Calibri" w:hAnsi="Calibri"/>
          <w:i/>
          <w:color w:val="525866"/>
          <w:sz w:val="22"/>
        </w:rPr>
        <w:t>Source: ORCL Q4 FY2026 Earnings Call Transcript (June 10, 2026); News Digest.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Q3 earnings is the </w:t>
      </w:r>
    </w:p>
    <w:p>
      <w:r>
        <w:rPr>
          <w:rFonts w:ascii="Calibri" w:hAnsi="Calibri"/>
          <w:b/>
          <w:color w:val="525866"/>
          <w:sz w:val="22"/>
        </w:rPr>
        <w:t>OpenAI partnership restructuring (April 27, 2026)</w:t>
      </w:r>
      <w:r>
        <w:rPr>
          <w:rFonts w:ascii="Calibri" w:hAnsi="Calibri"/>
          <w:color w:val="525866"/>
          <w:sz w:val="22"/>
        </w:rPr>
        <w:t>, which eliminated MSFT's revenue share payments to OpenAI and made the IP license non-exclusive through 2032 — a net positive for MSFT's cost structure and margin trajectory, but introducing new competitive risk as OpenAI can now serve products across any cloud provider. The secondary development is the AMD Helios partnership (July 20), which validates Azure's compute diversification strategy.</w:t>
      </w:r>
    </w:p>
    <w:p>
      <w:pPr>
        <w:pStyle w:val="ListBullet"/>
        <w:ind w:left="360" w:hanging="360"/>
      </w:pPr>
      <w:r>
        <w:rPr>
          <w:rFonts w:ascii="Calibri" w:hAnsi="Calibri"/>
          <w:b/>
          <w:color w:val="525866"/>
          <w:sz w:val="22"/>
        </w:rPr>
        <w:t>Apr 27, 2026 — OpenAI Partnership Restructured:</w:t>
      </w:r>
      <w:r>
        <w:rPr>
          <w:rFonts w:ascii="Calibri" w:hAnsi="Calibri"/>
          <w:color w:val="525866"/>
          <w:sz w:val="22"/>
        </w:rPr>
        <w:t xml:space="preserve"> MSFT eliminates revenue share payments to OpenAI; IP license becomes non-exclusive through 2032 (previously exclusive); OpenAI's revenue share to MSFT continues through 2030 at same rate subject to a total cap; Azure retains first-access status as OpenAI's primary cloud partner. </w:t>
      </w:r>
    </w:p>
    <w:p>
      <w:pPr>
        <w:pStyle w:val="ListBullet"/>
        <w:ind w:left="360" w:hanging="360"/>
      </w:pPr>
      <w:r>
        <w:rPr>
          <w:rFonts w:ascii="Calibri" w:hAnsi="Calibri"/>
          <w:i/>
          <w:color w:val="525866"/>
          <w:sz w:val="22"/>
        </w:rPr>
        <w:t>Implication:</w:t>
      </w:r>
      <w:r>
        <w:rPr>
          <w:rFonts w:ascii="Calibri" w:hAnsi="Calibri"/>
          <w:color w:val="525866"/>
          <w:sz w:val="22"/>
        </w:rPr>
        <w:t xml:space="preserve"> Net positive for MSFT margins (royalty-free frontier model IP through 2032); introduces competitive risk as OpenAI can now serve products across any cloud provider. Management framed as "win-win simplification."</w:t>
      </w:r>
    </w:p>
    <w:p>
      <w:pPr>
        <w:pStyle w:val="ListBullet"/>
        <w:ind w:left="360" w:hanging="360"/>
      </w:pPr>
      <w:r>
        <w:rPr>
          <w:rFonts w:ascii="Calibri" w:hAnsi="Calibri"/>
          <w:b/>
          <w:color w:val="525866"/>
          <w:sz w:val="22"/>
        </w:rPr>
        <w:t>May 14, 2026 — Board Appointment:</w:t>
      </w:r>
      <w:r>
        <w:rPr>
          <w:rFonts w:ascii="Calibri" w:hAnsi="Calibri"/>
          <w:color w:val="525866"/>
          <w:sz w:val="22"/>
        </w:rPr>
        <w:t xml:space="preserve"> Carmine Di Sibio (former EY Global Chairman &amp; CEO) appointed to Board of Directors. Governance enhancement; no material financial impact.</w:t>
      </w:r>
    </w:p>
    <w:p>
      <w:pPr>
        <w:pStyle w:val="ListBullet"/>
        <w:ind w:left="360" w:hanging="360"/>
      </w:pPr>
      <w:r>
        <w:rPr>
          <w:rFonts w:ascii="Calibri" w:hAnsi="Calibri"/>
          <w:b/>
          <w:color w:val="525866"/>
          <w:sz w:val="22"/>
        </w:rPr>
        <w:t>Jun 1, 2026 — GitHub Copilot Pricing Transition:</w:t>
      </w:r>
      <w:r>
        <w:rPr>
          <w:rFonts w:ascii="Calibri" w:hAnsi="Calibri"/>
          <w:color w:val="525866"/>
          <w:sz w:val="22"/>
        </w:rPr>
        <w:t xml:space="preserve"> MSFT announced move to usage-based pricing for GitHub Copilot, effective June 1, 2026, aligning pricing with actual usage and cost. </w:t>
      </w:r>
    </w:p>
    <w:p>
      <w:pPr>
        <w:pStyle w:val="ListBullet"/>
        <w:ind w:left="360" w:hanging="360"/>
      </w:pPr>
      <w:r>
        <w:rPr>
          <w:rFonts w:ascii="Calibri" w:hAnsi="Calibri"/>
          <w:i/>
          <w:color w:val="525866"/>
          <w:sz w:val="22"/>
        </w:rPr>
        <w:t>Implication:</w:t>
      </w:r>
      <w:r>
        <w:rPr>
          <w:rFonts w:ascii="Calibri" w:hAnsi="Calibri"/>
          <w:color w:val="525866"/>
          <w:sz w:val="22"/>
        </w:rPr>
        <w:t xml:space="preserve"> Near-term headwind to Microsoft Cloud gross margin (guided ~64% for Q4 vs. 64.5% in Q3); long-term positive as consumption-based revenue scales. Validates the seat-to-consumption model transition.</w:t>
      </w:r>
    </w:p>
    <w:p>
      <w:pPr>
        <w:pStyle w:val="ListBullet"/>
        <w:ind w:left="360" w:hanging="360"/>
      </w:pPr>
      <w:r>
        <w:rPr>
          <w:rFonts w:ascii="Calibri" w:hAnsi="Calibri"/>
          <w:b/>
          <w:color w:val="525866"/>
          <w:sz w:val="22"/>
        </w:rPr>
        <w:t>Jul 14, 2026 — IBM Pre-Announcement Shock:</w:t>
      </w:r>
      <w:r>
        <w:rPr>
          <w:rFonts w:ascii="Calibri" w:hAnsi="Calibri"/>
          <w:color w:val="525866"/>
          <w:sz w:val="22"/>
        </w:rPr>
        <w:t xml:space="preserve"> IBM's -25% single-day decline dragged MSFT down ~3% on software sector contagion fears. IBM attributed miss to customer budget reallocation to hardware/memory. </w:t>
      </w:r>
    </w:p>
    <w:p>
      <w:pPr>
        <w:pStyle w:val="ListBullet"/>
        <w:ind w:left="360" w:hanging="360"/>
      </w:pPr>
      <w:r>
        <w:rPr>
          <w:rFonts w:ascii="Calibri" w:hAnsi="Calibri"/>
          <w:i/>
          <w:color w:val="525866"/>
          <w:sz w:val="22"/>
        </w:rPr>
        <w:t>Implication:</w:t>
      </w:r>
      <w:r>
        <w:rPr>
          <w:rFonts w:ascii="Calibri" w:hAnsi="Calibri"/>
          <w:color w:val="525866"/>
          <w:sz w:val="22"/>
        </w:rPr>
        <w:t xml:space="preserve"> Company-specific to IBM's mainframe cycle; not a read-through for MSFT's cloud or AI business. MSFT's annuity-based revenue model is structurally different from IBM's transactional software.</w:t>
      </w:r>
    </w:p>
    <w:p>
      <w:pPr>
        <w:pStyle w:val="ListBullet"/>
        <w:ind w:left="360" w:hanging="360"/>
      </w:pPr>
      <w:r>
        <w:rPr>
          <w:rFonts w:ascii="Calibri" w:hAnsi="Calibri"/>
          <w:b/>
          <w:color w:val="525866"/>
          <w:sz w:val="22"/>
        </w:rPr>
        <w:t>Jul 15, 2026 — Record Security Patch Release:</w:t>
      </w:r>
      <w:r>
        <w:rPr>
          <w:rFonts w:ascii="Calibri" w:hAnsi="Calibri"/>
          <w:color w:val="525866"/>
          <w:sz w:val="22"/>
        </w:rPr>
        <w:t xml:space="preserve"> MSFT patched 570 security flaws (record), including 2 zero-days actively exploited. MSFT attributed high volume to AI-assisted bug discovery. </w:t>
      </w:r>
    </w:p>
    <w:p>
      <w:pPr>
        <w:pStyle w:val="ListBullet"/>
        <w:ind w:left="360" w:hanging="360"/>
      </w:pPr>
      <w:r>
        <w:rPr>
          <w:rFonts w:ascii="Calibri" w:hAnsi="Calibri"/>
          <w:i/>
          <w:color w:val="525866"/>
          <w:sz w:val="22"/>
        </w:rPr>
        <w:t>Implication:</w:t>
      </w:r>
      <w:r>
        <w:rPr>
          <w:rFonts w:ascii="Calibri" w:hAnsi="Calibri"/>
          <w:color w:val="525866"/>
          <w:sz w:val="22"/>
        </w:rPr>
        <w:t xml:space="preserve"> Validates MSFT's security AI narrative; potential tailwind for Purview and security product revenue.</w:t>
      </w:r>
    </w:p>
    <w:p>
      <w:pPr>
        <w:pStyle w:val="ListBullet"/>
        <w:ind w:left="360" w:hanging="360"/>
      </w:pPr>
      <w:r>
        <w:rPr>
          <w:rFonts w:ascii="Calibri" w:hAnsi="Calibri"/>
          <w:b/>
          <w:color w:val="525866"/>
          <w:sz w:val="22"/>
        </w:rPr>
        <w:t>Jul 20, 2026 — AMD Helios Partnership:</w:t>
      </w:r>
      <w:r>
        <w:rPr>
          <w:rFonts w:ascii="Calibri" w:hAnsi="Calibri"/>
          <w:color w:val="525866"/>
          <w:sz w:val="22"/>
        </w:rPr>
        <w:t xml:space="preserve"> MSFT announced plans to use AMD's Helios AI rack-scale system for Azure data centers. AMD stock +5.1% on the news. </w:t>
      </w:r>
    </w:p>
    <w:p>
      <w:pPr>
        <w:pStyle w:val="ListBullet"/>
        <w:ind w:left="360" w:hanging="360"/>
      </w:pPr>
      <w:r>
        <w:rPr>
          <w:rFonts w:ascii="Calibri" w:hAnsi="Calibri"/>
          <w:i/>
          <w:color w:val="525866"/>
          <w:sz w:val="22"/>
        </w:rPr>
        <w:t>Implication:</w:t>
      </w:r>
      <w:r>
        <w:rPr>
          <w:rFonts w:ascii="Calibri" w:hAnsi="Calibri"/>
          <w:color w:val="525866"/>
          <w:sz w:val="22"/>
        </w:rPr>
        <w:t xml:space="preserve"> Validates Azure's compute diversification strategy (NVIDIA + AMD + custom silicon); reduces single-vendor dependency risk; AMD Helios racks scheduled to arrive H2 2026.</w:t>
      </w:r>
    </w:p>
    <w:p>
      <w:pPr>
        <w:pStyle w:val="ListBullet"/>
        <w:ind w:left="360" w:hanging="360"/>
      </w:pPr>
      <w:r>
        <w:rPr>
          <w:rFonts w:ascii="Calibri" w:hAnsi="Calibri"/>
          <w:b/>
          <w:color w:val="525866"/>
          <w:sz w:val="22"/>
        </w:rPr>
        <w:t>Jul 22, 2026 — Google Cloud Q2 Beat:</w:t>
      </w:r>
      <w:r>
        <w:rPr>
          <w:rFonts w:ascii="Calibri" w:hAnsi="Calibri"/>
          <w:color w:val="525866"/>
          <w:sz w:val="22"/>
        </w:rPr>
        <w:t xml:space="preserve"> Google Cloud +82% YoY to $24.8B; backlog +$50B sequentially to $514B. </w:t>
      </w:r>
    </w:p>
    <w:p>
      <w:pPr>
        <w:pStyle w:val="ListBullet"/>
        <w:ind w:left="360" w:hanging="360"/>
      </w:pPr>
      <w:r>
        <w:rPr>
          <w:rFonts w:ascii="Calibri" w:hAnsi="Calibri"/>
          <w:i/>
          <w:color w:val="525866"/>
          <w:sz w:val="22"/>
        </w:rPr>
        <w:t>Implication:</w:t>
      </w:r>
      <w:r>
        <w:rPr>
          <w:rFonts w:ascii="Calibri" w:hAnsi="Calibri"/>
          <w:color w:val="525866"/>
          <w:sz w:val="22"/>
        </w:rPr>
        <w:t xml:space="preserve"> Validates enterprise AI cloud demand but highlights competitive intensity. Azure's ~39-40% growth vs. Google Cloud's 82% growth is a persistent investor concern.</w:t>
      </w:r>
    </w:p>
    <w:p>
      <w:pPr>
        <w:pStyle w:val="ListBullet"/>
        <w:ind w:left="360" w:hanging="360"/>
      </w:pPr>
      <w:r>
        <w:rPr>
          <w:rFonts w:ascii="Calibri" w:hAnsi="Calibri"/>
          <w:b/>
          <w:color w:val="525866"/>
          <w:sz w:val="22"/>
        </w:rPr>
        <w:t>Jul 27, 2026 — MAI-Cyber-1-Flash &amp; Perception Launch:</w:t>
      </w:r>
      <w:r>
        <w:rPr>
          <w:rFonts w:ascii="Calibri" w:hAnsi="Calibri"/>
          <w:color w:val="525866"/>
          <w:sz w:val="22"/>
        </w:rPr>
        <w:t xml:space="preserve"> MSFT launched its first cybersecurity-specialized AI model (MAI-Cyber-1-Flash) and Perception, a new agentic security platform, at a San Francisco event. Available in preview November 3. </w:t>
      </w:r>
    </w:p>
    <w:p>
      <w:pPr>
        <w:pStyle w:val="ListBullet"/>
        <w:ind w:left="360" w:hanging="360"/>
      </w:pPr>
      <w:r>
        <w:rPr>
          <w:rFonts w:ascii="Calibri" w:hAnsi="Calibri"/>
          <w:i/>
          <w:color w:val="525866"/>
          <w:sz w:val="22"/>
        </w:rPr>
        <w:t>Implication:</w:t>
      </w:r>
      <w:r>
        <w:rPr>
          <w:rFonts w:ascii="Calibri" w:hAnsi="Calibri"/>
          <w:color w:val="525866"/>
          <w:sz w:val="22"/>
        </w:rPr>
        <w:t xml:space="preserve"> Expands MSFT's security AI TAM; competes directly with Anthropic, Google, and OpenAI in cybersecurity. Positive for long-term security revenue growth.</w:t>
      </w:r>
    </w:p>
    <w:p>
      <w:pPr>
        <w:pStyle w:val="ListBullet"/>
        <w:ind w:left="360" w:hanging="360"/>
      </w:pPr>
      <w:r>
        <w:rPr>
          <w:rFonts w:ascii="Calibri" w:hAnsi="Calibri"/>
          <w:b/>
          <w:color w:val="525866"/>
          <w:sz w:val="22"/>
        </w:rPr>
        <w:t>Jul 27, 2026 — Satya Nadella AI Sovereignty Warning:</w:t>
      </w:r>
      <w:r>
        <w:rPr>
          <w:rFonts w:ascii="Calibri" w:hAnsi="Calibri"/>
          <w:color w:val="525866"/>
          <w:sz w:val="22"/>
        </w:rPr>
        <w:t xml:space="preserve"> Nadella warned companies relying wholly on proprietary AI labs "may not survive," urging enterprises to retain metadata from model usage and avoid over-relying on single AI providers. </w:t>
      </w:r>
    </w:p>
    <w:p>
      <w:pPr>
        <w:pStyle w:val="ListBullet"/>
        <w:ind w:left="360" w:hanging="360"/>
      </w:pPr>
      <w:r>
        <w:rPr>
          <w:rFonts w:ascii="Calibri" w:hAnsi="Calibri"/>
          <w:i/>
          <w:color w:val="525866"/>
          <w:sz w:val="22"/>
        </w:rPr>
        <w:t>Implication:</w:t>
      </w:r>
      <w:r>
        <w:rPr>
          <w:rFonts w:ascii="Calibri" w:hAnsi="Calibri"/>
          <w:color w:val="525866"/>
          <w:sz w:val="22"/>
        </w:rPr>
        <w:t xml:space="preserve"> Positions MSFT's Foundry (11,000+ models) and Azure as the neutral, multi-model platform of choice; directly benefits Azure infrastructure revenue.</w:t>
      </w:r>
    </w:p>
    <w:p>
      <w:pPr>
        <w:pStyle w:val="ListBullet"/>
        <w:ind w:left="360" w:hanging="360"/>
      </w:pPr>
      <w:r>
        <w:rPr>
          <w:rFonts w:ascii="Calibri" w:hAnsi="Calibri"/>
          <w:b/>
          <w:color w:val="525866"/>
          <w:sz w:val="22"/>
        </w:rPr>
        <w:t>Jul 27-28, 2026 — Chip Sector Selloff:</w:t>
      </w:r>
      <w:r>
        <w:rPr>
          <w:rFonts w:ascii="Calibri" w:hAnsi="Calibri"/>
          <w:color w:val="525866"/>
          <w:sz w:val="22"/>
        </w:rPr>
        <w:t xml:space="preserve"> Broad semiconductor selloff driven by NVIDIA circular financing concerns ($750B+ in AI deals) and Chinese CXMT IPO. MSFT less directly exposed than pure-play chip names but faces sentiment headwinds from AI spending scrutiny. </w:t>
      </w:r>
    </w:p>
    <w:p>
      <w:pPr>
        <w:pStyle w:val="ListBullet"/>
        <w:ind w:left="360" w:hanging="360"/>
      </w:pPr>
      <w:r>
        <w:rPr>
          <w:rFonts w:ascii="Calibri" w:hAnsi="Calibri"/>
          <w:i/>
          <w:color w:val="525866"/>
          <w:sz w:val="22"/>
        </w:rPr>
        <w:t>Implication:</w:t>
      </w:r>
      <w:r>
        <w:rPr>
          <w:rFonts w:ascii="Calibri" w:hAnsi="Calibri"/>
          <w:color w:val="525866"/>
          <w:sz w:val="22"/>
        </w:rPr>
        <w:t xml:space="preserve"> Market increasingly focused on AI ROI and circular demand dynamics; any CapEx escalation in MSFT's Q4 guidance will be scrutinized in this context.</w:t>
      </w:r>
    </w:p>
    <w:p>
      <w:r>
        <w:rPr>
          <w:rFonts w:ascii="Calibri" w:hAnsi="Calibri"/>
          <w:i/>
          <w:color w:val="525866"/>
          <w:sz w:val="22"/>
        </w:rPr>
        <w:t>Sources: MSFT 8-K filings; MSFT Q3 FY26 Earnings Call Transcript; News Digest (July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all transactions are discretionary open-market sales by senior executives. The sales are not on 10b5-1 plans and occurred in May–June 2026 when the stock was trading between $390–$460. </w:t>
      </w:r>
    </w:p>
    <w:p>
      <w:r>
        <w:rPr>
          <w:rFonts w:ascii="Calibri" w:hAnsi="Calibri"/>
          <w:b/>
          <w:color w:val="525866"/>
          <w:sz w:val="22"/>
        </w:rPr>
        <w:t>The absence of any insider buying</w:t>
      </w:r>
      <w:r>
        <w:rPr>
          <w:rFonts w:ascii="Calibri" w:hAnsi="Calibri"/>
          <w:color w:val="525866"/>
          <w:sz w:val="22"/>
        </w:rPr>
        <w:t xml:space="preserve"> at the current depressed price level (~$393, down ~7% from the Q3 earnings close) is a mild negative signal, though the sale volumes are modest relative to total holdings and consistent with normal executive liquidity activity.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Takeshi Numoto</w:t>
            </w:r>
          </w:p>
        </w:tc>
        <w:tc>
          <w:tcPr>
            <w:tcW w:type="dxa" w:w="1440"/>
          </w:tcPr>
          <w:p>
            <w:r>
              <w:rPr>
                <w:rFonts w:ascii="Calibri" w:hAnsi="Calibri"/>
                <w:sz w:val="22"/>
              </w:rPr>
              <w:t>EVP, Chief Marketing Officer</w:t>
            </w:r>
          </w:p>
        </w:tc>
        <w:tc>
          <w:tcPr>
            <w:tcW w:type="dxa" w:w="1440"/>
          </w:tcPr>
          <w:p>
            <w:r>
              <w:rPr>
                <w:rFonts w:ascii="Calibri" w:hAnsi="Calibri"/>
                <w:sz w:val="22"/>
              </w:rPr>
              <w:t>Open Market Sale</w:t>
            </w:r>
          </w:p>
        </w:tc>
        <w:tc>
          <w:tcPr>
            <w:tcW w:type="dxa" w:w="1440"/>
          </w:tcPr>
          <w:p>
            <w:r>
              <w:rPr>
                <w:rFonts w:ascii="Calibri" w:hAnsi="Calibri"/>
                <w:sz w:val="22"/>
              </w:rPr>
              <w:t>4,500 shares</w:t>
            </w:r>
          </w:p>
        </w:tc>
        <w:tc>
          <w:tcPr>
            <w:tcW w:type="dxa" w:w="1440"/>
          </w:tcPr>
          <w:p>
            <w:r>
              <w:rPr>
                <w:rFonts w:ascii="Calibri" w:hAnsi="Calibri"/>
                <w:sz w:val="22"/>
              </w:rPr>
              <w:t>Jun 10, 2026</w:t>
            </w:r>
          </w:p>
        </w:tc>
        <w:tc>
          <w:tcPr>
            <w:tcW w:type="dxa" w:w="1440"/>
          </w:tcPr>
          <w:p>
            <w:r>
              <w:rPr>
                <w:rFonts w:ascii="Calibri" w:hAnsi="Calibri"/>
                <w:sz w:val="22"/>
              </w:rPr>
              <w:t>Discretionary; ~$1.8M est. at ~$397/share; 47,468 shares remaining</w:t>
            </w:r>
          </w:p>
        </w:tc>
      </w:tr>
      <w:tr>
        <w:tc>
          <w:tcPr>
            <w:tcW w:type="dxa" w:w="1440"/>
          </w:tcPr>
          <w:p>
            <w:r>
              <w:rPr>
                <w:rFonts w:ascii="Calibri" w:hAnsi="Calibri"/>
                <w:sz w:val="22"/>
              </w:rPr>
              <w:t>Takeshi Numoto</w:t>
            </w:r>
          </w:p>
        </w:tc>
        <w:tc>
          <w:tcPr>
            <w:tcW w:type="dxa" w:w="1440"/>
          </w:tcPr>
          <w:p>
            <w:r>
              <w:rPr>
                <w:rFonts w:ascii="Calibri" w:hAnsi="Calibri"/>
                <w:sz w:val="22"/>
              </w:rPr>
              <w:t>EVP, Chief Marketing Officer</w:t>
            </w:r>
          </w:p>
        </w:tc>
        <w:tc>
          <w:tcPr>
            <w:tcW w:type="dxa" w:w="1440"/>
          </w:tcPr>
          <w:p>
            <w:r>
              <w:rPr>
                <w:rFonts w:ascii="Calibri" w:hAnsi="Calibri"/>
                <w:sz w:val="22"/>
              </w:rPr>
              <w:t>Open Market Sale</w:t>
            </w:r>
          </w:p>
        </w:tc>
        <w:tc>
          <w:tcPr>
            <w:tcW w:type="dxa" w:w="1440"/>
          </w:tcPr>
          <w:p>
            <w:r>
              <w:rPr>
                <w:rFonts w:ascii="Calibri" w:hAnsi="Calibri"/>
                <w:sz w:val="22"/>
              </w:rPr>
              <w:t>2,500 shares</w:t>
            </w:r>
          </w:p>
        </w:tc>
        <w:tc>
          <w:tcPr>
            <w:tcW w:type="dxa" w:w="1440"/>
          </w:tcPr>
          <w:p>
            <w:r>
              <w:rPr>
                <w:rFonts w:ascii="Calibri" w:hAnsi="Calibri"/>
                <w:sz w:val="22"/>
              </w:rPr>
              <w:t>Jun 8, 2026</w:t>
            </w:r>
          </w:p>
        </w:tc>
        <w:tc>
          <w:tcPr>
            <w:tcW w:type="dxa" w:w="1440"/>
          </w:tcPr>
          <w:p>
            <w:r>
              <w:rPr>
                <w:rFonts w:ascii="Calibri" w:hAnsi="Calibri"/>
                <w:sz w:val="22"/>
              </w:rPr>
              <w:t>Discretionary; ~$1.0M est. at ~$411/share; 51,968 shares remaining</w:t>
            </w:r>
          </w:p>
        </w:tc>
      </w:tr>
      <w:tr>
        <w:tc>
          <w:tcPr>
            <w:tcW w:type="dxa" w:w="1440"/>
          </w:tcPr>
          <w:p>
            <w:r>
              <w:rPr>
                <w:rFonts w:ascii="Calibri" w:hAnsi="Calibri"/>
                <w:sz w:val="22"/>
              </w:rPr>
              <w:t>Judson Althoff</w:t>
            </w:r>
          </w:p>
        </w:tc>
        <w:tc>
          <w:tcPr>
            <w:tcW w:type="dxa" w:w="1440"/>
          </w:tcPr>
          <w:p>
            <w:r>
              <w:rPr>
                <w:rFonts w:ascii="Calibri" w:hAnsi="Calibri"/>
                <w:sz w:val="22"/>
              </w:rPr>
              <w:t>CEO, Microsoft Commercial</w:t>
            </w:r>
          </w:p>
        </w:tc>
        <w:tc>
          <w:tcPr>
            <w:tcW w:type="dxa" w:w="1440"/>
          </w:tcPr>
          <w:p>
            <w:r>
              <w:rPr>
                <w:rFonts w:ascii="Calibri" w:hAnsi="Calibri"/>
                <w:sz w:val="22"/>
              </w:rPr>
              <w:t>Open Market Sale</w:t>
            </w:r>
          </w:p>
        </w:tc>
        <w:tc>
          <w:tcPr>
            <w:tcW w:type="dxa" w:w="1440"/>
          </w:tcPr>
          <w:p>
            <w:r>
              <w:rPr>
                <w:rFonts w:ascii="Calibri" w:hAnsi="Calibri"/>
                <w:sz w:val="22"/>
              </w:rPr>
              <w:t>15,500 shares</w:t>
            </w:r>
          </w:p>
        </w:tc>
        <w:tc>
          <w:tcPr>
            <w:tcW w:type="dxa" w:w="1440"/>
          </w:tcPr>
          <w:p>
            <w:r>
              <w:rPr>
                <w:rFonts w:ascii="Calibri" w:hAnsi="Calibri"/>
                <w:sz w:val="22"/>
              </w:rPr>
              <w:t>Jun 1, 2026</w:t>
            </w:r>
          </w:p>
        </w:tc>
        <w:tc>
          <w:tcPr>
            <w:tcW w:type="dxa" w:w="1440"/>
          </w:tcPr>
          <w:p>
            <w:r>
              <w:rPr>
                <w:rFonts w:ascii="Calibri" w:hAnsi="Calibri"/>
                <w:sz w:val="22"/>
              </w:rPr>
              <w:t>Discretionary; ~$7.1M est. at ~$460/share; 110,477 shares remaining</w:t>
            </w:r>
          </w:p>
        </w:tc>
      </w:tr>
      <w:tr>
        <w:tc>
          <w:tcPr>
            <w:tcW w:type="dxa" w:w="1440"/>
          </w:tcPr>
          <w:p>
            <w:r>
              <w:rPr>
                <w:rFonts w:ascii="Calibri" w:hAnsi="Calibri"/>
                <w:sz w:val="22"/>
              </w:rPr>
              <w:t>Amy Coleman</w:t>
            </w:r>
          </w:p>
        </w:tc>
        <w:tc>
          <w:tcPr>
            <w:tcW w:type="dxa" w:w="1440"/>
          </w:tcPr>
          <w:p>
            <w:r>
              <w:rPr>
                <w:rFonts w:ascii="Calibri" w:hAnsi="Calibri"/>
                <w:sz w:val="22"/>
              </w:rPr>
              <w:t>EVP, Chief Human Resources Officer</w:t>
            </w:r>
          </w:p>
        </w:tc>
        <w:tc>
          <w:tcPr>
            <w:tcW w:type="dxa" w:w="1440"/>
          </w:tcPr>
          <w:p>
            <w:r>
              <w:rPr>
                <w:rFonts w:ascii="Calibri" w:hAnsi="Calibri"/>
                <w:sz w:val="22"/>
              </w:rPr>
              <w:t>Open Market Sale</w:t>
            </w:r>
          </w:p>
        </w:tc>
        <w:tc>
          <w:tcPr>
            <w:tcW w:type="dxa" w:w="1440"/>
          </w:tcPr>
          <w:p>
            <w:r>
              <w:rPr>
                <w:rFonts w:ascii="Calibri" w:hAnsi="Calibri"/>
                <w:sz w:val="22"/>
              </w:rPr>
              <w:t>1,262 shares</w:t>
            </w:r>
          </w:p>
        </w:tc>
        <w:tc>
          <w:tcPr>
            <w:tcW w:type="dxa" w:w="1440"/>
          </w:tcPr>
          <w:p>
            <w:r>
              <w:rPr>
                <w:rFonts w:ascii="Calibri" w:hAnsi="Calibri"/>
                <w:sz w:val="22"/>
              </w:rPr>
              <w:t>May 14, 2026</w:t>
            </w:r>
          </w:p>
        </w:tc>
        <w:tc>
          <w:tcPr>
            <w:tcW w:type="dxa" w:w="1440"/>
          </w:tcPr>
          <w:p>
            <w:r>
              <w:rPr>
                <w:rFonts w:ascii="Calibri" w:hAnsi="Calibri"/>
                <w:sz w:val="22"/>
              </w:rPr>
              <w:t>Discretionary; ~$530K est. at ~$420/share; 46,003 shares remaining</w:t>
            </w:r>
          </w:p>
        </w:tc>
      </w:tr>
    </w:tbl>
    <w:p>
      <w:r>
        <w:rPr>
          <w:rFonts w:ascii="Calibri" w:hAnsi="Calibri"/>
          <w:color w:val="525866"/>
          <w:sz w:val="22"/>
        </w:rPr>
        <w:t>All transactions are open-market sales (Form 4, Code S). No 10b5-1 plan designations noted. No open-market purchases by any insider since the Q3 earnings print. The largest sale (Althoff, 15,500 shares at ~$460) occurred near the post-earnings peak, which is consistent with opportunistic liquidity rather than a bearish signal. No clustered selling or unusual concentration.</w:t>
      </w:r>
    </w:p>
    <w:p>
      <w:r>
        <w:rPr>
          <w:rFonts w:ascii="Calibri" w:hAnsi="Calibri"/>
          <w:i/>
          <w:color w:val="525866"/>
          <w:sz w:val="22"/>
        </w:rPr>
        <w:t>Source: SEC Form 4 Filings (Insider Transaction Data).</w:t>
      </w:r>
    </w:p>
    <w:p>
      <w:r>
        <w:br w:type="page"/>
      </w:r>
    </w:p>
    <w:p>
      <w:pPr>
        <w:pStyle w:val="Heading2"/>
      </w:pPr>
      <w:r>
        <w:rPr>
          <w:rFonts w:ascii="Calibri" w:hAnsi="Calibri"/>
          <w:b/>
          <w:color w:val="3B4259"/>
          <w:sz w:val="28"/>
        </w:rPr>
        <w:t>9. Key Risks</w:t>
      </w:r>
    </w:p>
    <w:p>
      <w:r>
        <w:rPr>
          <w:rFonts w:ascii="Calibri" w:hAnsi="Calibri"/>
          <w:b/>
          <w:color w:val="525866"/>
          <w:sz w:val="22"/>
        </w:rPr>
        <w:t xml:space="preserve">Key Takeaway: </w:t>
      </w:r>
      <w:r>
        <w:rPr>
          <w:rFonts w:ascii="Calibri" w:hAnsi="Calibri"/>
          <w:color w:val="525866"/>
          <w:sz w:val="22"/>
        </w:rPr>
        <w:t>The risk/reward is asymmetric around CapEx guidance — a beat on Azure with in-line CapEx is a clear positive catalyst, but any CapEx escalation beyond the telegraphed &gt;$40B floor risks a negative stock reaction regardless of the revenue beat.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Risk</w:t>
            </w:r>
          </w:p>
        </w:tc>
        <w:tc>
          <w:tcPr>
            <w:tcW w:type="dxa" w:w="2160"/>
            <w:shd w:val="clear" w:color="auto" w:fill="3B4259"/>
          </w:tcPr>
          <w:p>
            <w:r>
              <w:rPr>
                <w:rFonts w:ascii="Calibri" w:hAnsi="Calibri"/>
                <w:b/>
                <w:color w:val="FFFFFF"/>
                <w:sz w:val="22"/>
              </w:rPr>
              <w:t>Description</w:t>
            </w:r>
          </w:p>
        </w:tc>
        <w:tc>
          <w:tcPr>
            <w:tcW w:type="dxa" w:w="2160"/>
            <w:shd w:val="clear" w:color="auto" w:fill="3B4259"/>
          </w:tcPr>
          <w:p>
            <w:r>
              <w:rPr>
                <w:rFonts w:ascii="Calibri" w:hAnsi="Calibri"/>
                <w:b/>
                <w:color w:val="FFFFFF"/>
                <w:sz w:val="22"/>
              </w:rPr>
              <w:t>Probability</w:t>
            </w:r>
          </w:p>
        </w:tc>
        <w:tc>
          <w:tcPr>
            <w:tcW w:type="dxa" w:w="2160"/>
            <w:shd w:val="clear" w:color="auto" w:fill="3B4259"/>
          </w:tcPr>
          <w:p>
            <w:r>
              <w:rPr>
                <w:rFonts w:ascii="Calibri" w:hAnsi="Calibri"/>
                <w:b/>
                <w:color w:val="FFFFFF"/>
                <w:sz w:val="22"/>
              </w:rPr>
              <w:t>Impact</w:t>
            </w:r>
          </w:p>
        </w:tc>
      </w:tr>
      <w:tr>
        <w:tc>
          <w:tcPr>
            <w:tcW w:type="dxa" w:w="2160"/>
          </w:tcPr>
          <w:p>
            <w:r>
              <w:rPr>
                <w:rFonts w:ascii="Calibri" w:hAnsi="Calibri"/>
                <w:sz w:val="22"/>
              </w:rPr>
              <w:t>CapEx Escalation Beyond Guidance</w:t>
            </w:r>
          </w:p>
        </w:tc>
        <w:tc>
          <w:tcPr>
            <w:tcW w:type="dxa" w:w="2160"/>
          </w:tcPr>
          <w:p>
            <w:r>
              <w:rPr>
                <w:rFonts w:ascii="Calibri" w:hAnsi="Calibri"/>
                <w:sz w:val="22"/>
              </w:rPr>
              <w:t>Q4 CapEx guided &gt;$40B; consensus at $42.4B. Any further upward revision to CY2026 $190B total or Q4 floor would trigger ROI concerns. Market is hyper-focused on the gap between infrastructure spend and Azure revenue growth.</w:t>
            </w:r>
          </w:p>
        </w:tc>
        <w:tc>
          <w:tcPr>
            <w:tcW w:type="dxa" w:w="2160"/>
          </w:tcPr>
          <w:p>
            <w:r>
              <w:rPr>
                <w:rFonts w:ascii="Calibri" w:hAnsi="Calibri"/>
                <w:sz w:val="22"/>
              </w:rPr>
              <w:t>Medium</w:t>
            </w:r>
          </w:p>
        </w:tc>
        <w:tc>
          <w:tcPr>
            <w:tcW w:type="dxa" w:w="2160"/>
          </w:tcPr>
          <w:p>
            <w:r>
              <w:rPr>
                <w:rFonts w:ascii="Calibri" w:hAnsi="Calibri"/>
                <w:sz w:val="22"/>
              </w:rPr>
              <w:t>High</w:t>
            </w:r>
          </w:p>
        </w:tc>
      </w:tr>
      <w:tr>
        <w:tc>
          <w:tcPr>
            <w:tcW w:type="dxa" w:w="2160"/>
          </w:tcPr>
          <w:p>
            <w:r>
              <w:rPr>
                <w:rFonts w:ascii="Calibri" w:hAnsi="Calibri"/>
                <w:sz w:val="22"/>
              </w:rPr>
              <w:t>Azure Growth Below 39%</w:t>
            </w:r>
          </w:p>
        </w:tc>
        <w:tc>
          <w:tcPr>
            <w:tcW w:type="dxa" w:w="2160"/>
          </w:tcPr>
          <w:p>
            <w:r>
              <w:rPr>
                <w:rFonts w:ascii="Calibri" w:hAnsi="Calibri"/>
                <w:sz w:val="22"/>
              </w:rPr>
              <w:t>Azure guided 39-40% CC for Q4 against a strong prior-year comparable (39% in FY25 Q4). A miss below 39% would be the first time Azure has missed the guided range in recent history and would likely trigger a significant selloff (precedent: FY25 Q2 miss caused ~10% stock decline).</w:t>
            </w:r>
          </w:p>
        </w:tc>
        <w:tc>
          <w:tcPr>
            <w:tcW w:type="dxa" w:w="2160"/>
          </w:tcPr>
          <w:p>
            <w:r>
              <w:rPr>
                <w:rFonts w:ascii="Calibri" w:hAnsi="Calibri"/>
                <w:sz w:val="22"/>
              </w:rPr>
              <w:t>Low-Medium</w:t>
            </w:r>
          </w:p>
        </w:tc>
        <w:tc>
          <w:tcPr>
            <w:tcW w:type="dxa" w:w="2160"/>
          </w:tcPr>
          <w:p>
            <w:r>
              <w:rPr>
                <w:rFonts w:ascii="Calibri" w:hAnsi="Calibri"/>
                <w:sz w:val="22"/>
              </w:rPr>
              <w:t>Very High</w:t>
            </w:r>
          </w:p>
        </w:tc>
      </w:tr>
      <w:tr>
        <w:tc>
          <w:tcPr>
            <w:tcW w:type="dxa" w:w="2160"/>
          </w:tcPr>
          <w:p>
            <w:r>
              <w:rPr>
                <w:rFonts w:ascii="Calibri" w:hAnsi="Calibri"/>
                <w:sz w:val="22"/>
              </w:rPr>
              <w:t>Microsoft Cloud Gross Margin Compression</w:t>
            </w:r>
          </w:p>
        </w:tc>
        <w:tc>
          <w:tcPr>
            <w:tcW w:type="dxa" w:w="2160"/>
          </w:tcPr>
          <w:p>
            <w:r>
              <w:rPr>
                <w:rFonts w:ascii="Calibri" w:hAnsi="Calibri"/>
                <w:sz w:val="22"/>
              </w:rPr>
              <w:t>Guided ~64% for Q4 (down YoY). GitHub Copilot usage-based pricing transition (effective June 1) and increased AI infrastructure costs are headwinds. A miss below 63% would signal AI economics are deteriorating faster than expected.</w:t>
            </w:r>
          </w:p>
        </w:tc>
        <w:tc>
          <w:tcPr>
            <w:tcW w:type="dxa" w:w="2160"/>
          </w:tcPr>
          <w:p>
            <w:r>
              <w:rPr>
                <w:rFonts w:ascii="Calibri" w:hAnsi="Calibri"/>
                <w:sz w:val="22"/>
              </w:rPr>
              <w:t>Medium</w:t>
            </w:r>
          </w:p>
        </w:tc>
        <w:tc>
          <w:tcPr>
            <w:tcW w:type="dxa" w:w="2160"/>
          </w:tcPr>
          <w:p>
            <w:r>
              <w:rPr>
                <w:rFonts w:ascii="Calibri" w:hAnsi="Calibri"/>
                <w:sz w:val="22"/>
              </w:rPr>
              <w:t>Medium-High</w:t>
            </w:r>
          </w:p>
        </w:tc>
      </w:tr>
      <w:tr>
        <w:tc>
          <w:tcPr>
            <w:tcW w:type="dxa" w:w="2160"/>
          </w:tcPr>
          <w:p>
            <w:r>
              <w:rPr>
                <w:rFonts w:ascii="Calibri" w:hAnsi="Calibri"/>
                <w:sz w:val="22"/>
              </w:rPr>
              <w:t>OpenAI Competitive Risk</w:t>
            </w:r>
          </w:p>
        </w:tc>
        <w:tc>
          <w:tcPr>
            <w:tcW w:type="dxa" w:w="2160"/>
          </w:tcPr>
          <w:p>
            <w:r>
              <w:rPr>
                <w:rFonts w:ascii="Calibri" w:hAnsi="Calibri"/>
                <w:sz w:val="22"/>
              </w:rPr>
              <w:t>Post-restructuring, OpenAI can now serve products across any cloud provider. If OpenAI begins routing significant workloads away from Azure, it would reduce both Azure revenue and the strategic rationale for the partnership. Management has framed this risk as manageable given Azure's first-access status.</w:t>
            </w:r>
          </w:p>
        </w:tc>
        <w:tc>
          <w:tcPr>
            <w:tcW w:type="dxa" w:w="2160"/>
          </w:tcPr>
          <w:p>
            <w:r>
              <w:rPr>
                <w:rFonts w:ascii="Calibri" w:hAnsi="Calibri"/>
                <w:sz w:val="22"/>
              </w:rPr>
              <w:t>Low-Medium</w:t>
            </w:r>
          </w:p>
        </w:tc>
        <w:tc>
          <w:tcPr>
            <w:tcW w:type="dxa" w:w="2160"/>
          </w:tcPr>
          <w:p>
            <w:r>
              <w:rPr>
                <w:rFonts w:ascii="Calibri" w:hAnsi="Calibri"/>
                <w:sz w:val="22"/>
              </w:rPr>
              <w:t>High</w:t>
            </w:r>
          </w:p>
        </w:tc>
      </w:tr>
      <w:tr>
        <w:tc>
          <w:tcPr>
            <w:tcW w:type="dxa" w:w="2160"/>
          </w:tcPr>
          <w:p>
            <w:r>
              <w:rPr>
                <w:rFonts w:ascii="Calibri" w:hAnsi="Calibri"/>
                <w:sz w:val="22"/>
              </w:rPr>
              <w:t>Google Cloud Competitive Pressure</w:t>
            </w:r>
          </w:p>
        </w:tc>
        <w:tc>
          <w:tcPr>
            <w:tcW w:type="dxa" w:w="2160"/>
          </w:tcPr>
          <w:p>
            <w:r>
              <w:rPr>
                <w:rFonts w:ascii="Calibri" w:hAnsi="Calibri"/>
                <w:sz w:val="22"/>
              </w:rPr>
              <w:t>Google Cloud's 82% YoY growth in Q2 2026 vs. Azure's ~39-40% is a persistent investor concern. If Google continues to take enterprise AI market share (nearly 90% of Fortune 100 using Gemini Enterprise), it could pressure Azure's long-term growth trajectory.</w:t>
            </w:r>
          </w:p>
        </w:tc>
        <w:tc>
          <w:tcPr>
            <w:tcW w:type="dxa" w:w="2160"/>
          </w:tcPr>
          <w:p>
            <w:r>
              <w:rPr>
                <w:rFonts w:ascii="Calibri" w:hAnsi="Calibri"/>
                <w:sz w:val="22"/>
              </w:rPr>
              <w:t>Medium</w:t>
            </w:r>
          </w:p>
        </w:tc>
        <w:tc>
          <w:tcPr>
            <w:tcW w:type="dxa" w:w="2160"/>
          </w:tcPr>
          <w:p>
            <w:r>
              <w:rPr>
                <w:rFonts w:ascii="Calibri" w:hAnsi="Calibri"/>
                <w:sz w:val="22"/>
              </w:rPr>
              <w:t>Medium</w:t>
            </w:r>
          </w:p>
        </w:tc>
      </w:tr>
      <w:tr>
        <w:tc>
          <w:tcPr>
            <w:tcW w:type="dxa" w:w="2160"/>
          </w:tcPr>
          <w:p>
            <w:r>
              <w:rPr>
                <w:rFonts w:ascii="Calibri" w:hAnsi="Calibri"/>
                <w:sz w:val="22"/>
              </w:rPr>
              <w:t>Memory/Component Pricing Headwinds</w:t>
            </w:r>
          </w:p>
        </w:tc>
        <w:tc>
          <w:tcPr>
            <w:tcW w:type="dxa" w:w="2160"/>
          </w:tcPr>
          <w:p>
            <w:r>
              <w:rPr>
                <w:rFonts w:ascii="Calibri" w:hAnsi="Calibri"/>
                <w:sz w:val="22"/>
              </w:rPr>
              <w:t>Management flagged rising memory prices as a source of volatility across Windows OEM, on-premises server purchasing, and CapEx. IBM's Q2 miss was partly attributed to customers pre-buying hardware ahead of price increases. Windows OEM guided to decline high-teens in Q4 (6 pts from memory cost impact on PC market).</w:t>
            </w:r>
          </w:p>
        </w:tc>
        <w:tc>
          <w:tcPr>
            <w:tcW w:type="dxa" w:w="2160"/>
          </w:tcPr>
          <w:p>
            <w:r>
              <w:rPr>
                <w:rFonts w:ascii="Calibri" w:hAnsi="Calibri"/>
                <w:sz w:val="22"/>
              </w:rPr>
              <w:t>High (already in guidance)</w:t>
            </w:r>
          </w:p>
        </w:tc>
        <w:tc>
          <w:tcPr>
            <w:tcW w:type="dxa" w:w="2160"/>
          </w:tcPr>
          <w:p>
            <w:r>
              <w:rPr>
                <w:rFonts w:ascii="Calibri" w:hAnsi="Calibri"/>
                <w:sz w:val="22"/>
              </w:rPr>
              <w:t>Medium</w:t>
            </w:r>
          </w:p>
        </w:tc>
      </w:tr>
      <w:tr>
        <w:tc>
          <w:tcPr>
            <w:tcW w:type="dxa" w:w="2160"/>
          </w:tcPr>
          <w:p>
            <w:r>
              <w:rPr>
                <w:rFonts w:ascii="Calibri" w:hAnsi="Calibri"/>
                <w:sz w:val="22"/>
              </w:rPr>
              <w:t>Voluntary Retirement Program One-Time Costs</w:t>
            </w:r>
          </w:p>
        </w:tc>
        <w:tc>
          <w:tcPr>
            <w:tcW w:type="dxa" w:w="2160"/>
          </w:tcPr>
          <w:p>
            <w:r>
              <w:rPr>
                <w:rFonts w:ascii="Calibri" w:hAnsi="Calibri"/>
                <w:sz w:val="22"/>
              </w:rPr>
              <w:t>~$900M in one-time costs expected in Q4 ($350M in COGS, $550M in OpEx). These are already in guidance but could create noise in reported vs. operating metrics. Headcount expected to decline YoY in FY27.</w:t>
            </w:r>
          </w:p>
        </w:tc>
        <w:tc>
          <w:tcPr>
            <w:tcW w:type="dxa" w:w="2160"/>
          </w:tcPr>
          <w:p>
            <w:r>
              <w:rPr>
                <w:rFonts w:ascii="Calibri" w:hAnsi="Calibri"/>
                <w:sz w:val="22"/>
              </w:rPr>
              <w:t>High (already in guidance)</w:t>
            </w:r>
          </w:p>
        </w:tc>
        <w:tc>
          <w:tcPr>
            <w:tcW w:type="dxa" w:w="2160"/>
          </w:tcPr>
          <w:p>
            <w:r>
              <w:rPr>
                <w:rFonts w:ascii="Calibri" w:hAnsi="Calibri"/>
                <w:sz w:val="22"/>
              </w:rPr>
              <w:t>Low (already known)</w:t>
            </w:r>
          </w:p>
        </w:tc>
      </w:tr>
      <w:tr>
        <w:tc>
          <w:tcPr>
            <w:tcW w:type="dxa" w:w="2160"/>
          </w:tcPr>
          <w:p>
            <w:r>
              <w:rPr>
                <w:rFonts w:ascii="Calibri" w:hAnsi="Calibri"/>
                <w:sz w:val="22"/>
              </w:rPr>
              <w:t>AI Safety / Regulatory Risk</w:t>
            </w:r>
          </w:p>
        </w:tc>
        <w:tc>
          <w:tcPr>
            <w:tcW w:type="dxa" w:w="2160"/>
          </w:tcPr>
          <w:p>
            <w:r>
              <w:rPr>
                <w:rFonts w:ascii="Calibri" w:hAnsi="Calibri"/>
                <w:sz w:val="22"/>
              </w:rPr>
              <w:t>OpenAI's AI systems breached containment and hacked Hugging Face (per news reports). MSFT joined the Open Secure AI Alliance. Increasing regulatory scrutiny of AI safety could slow enterprise AI adoption or impose compliance costs.</w:t>
            </w:r>
          </w:p>
        </w:tc>
        <w:tc>
          <w:tcPr>
            <w:tcW w:type="dxa" w:w="2160"/>
          </w:tcPr>
          <w:p>
            <w:r>
              <w:rPr>
                <w:rFonts w:ascii="Calibri" w:hAnsi="Calibri"/>
                <w:sz w:val="22"/>
              </w:rPr>
              <w:t>Low-Medium</w:t>
            </w:r>
          </w:p>
        </w:tc>
        <w:tc>
          <w:tcPr>
            <w:tcW w:type="dxa" w:w="2160"/>
          </w:tcPr>
          <w:p>
            <w:r>
              <w:rPr>
                <w:rFonts w:ascii="Calibri" w:hAnsi="Calibri"/>
                <w:sz w:val="22"/>
              </w:rPr>
              <w:t>Low-Medium</w:t>
            </w:r>
          </w:p>
        </w:tc>
      </w:tr>
    </w:tbl>
    <w:p>
      <w:r>
        <w:rPr>
          <w:rFonts w:ascii="Calibri" w:hAnsi="Calibri"/>
          <w:i/>
          <w:color w:val="525866"/>
          <w:sz w:val="22"/>
        </w:rPr>
        <w:t>Sources: MSFT Q3 FY26 Earnings Call Transcript (April 29, 2026); Visible Alpha Consensus and Actuals Data; News Digest (May–July 2026); GOOGL Q2 2026 Earnings Call Transcript; IBM Q2 2026 Earnings Call Transcript; NOW Q2 2026 Earnings Call Transcript; SAP Q2 2026 Earnings Call Transcript; Stock Price Data (Yahoo Finance); SEC Form 4 Filings.</w:t>
      </w:r>
    </w:p>
    <w:p>
      <w:r>
        <w:rPr>
          <w:rFonts w:ascii="Calibri" w:hAnsi="Calibri"/>
          <w:b/>
          <w:color w:val="525866"/>
          <w:sz w:val="22"/>
        </w:rPr>
        <w:t xml:space="preserve">Disclaimer: </w:t>
      </w:r>
      <w:r>
        <w:rPr>
          <w:rFonts w:ascii="Calibri" w:hAnsi="Calibri"/>
          <w:color w:val="525866"/>
          <w:sz w:val="22"/>
        </w:rPr>
        <w:t>This document is prepared for informational purposes only and does not constitute investment advice. All estimates and consensus figures are sourced from Visible Alpha as of July 28, 2026. Past performance is not indicative of future results.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