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MTD (Mettler-Toledo) before writing the preview. Let me gather recent filings, transcripts, guidance, and news in parallel.Let me read the most recent quarter's earnings release and call transcript to understand current guidance and trends.Let me pull recent stock performance and check the prior-year Q2 for comparison context.I have what I need. Here's the earnings preview.</w:t>
      </w:r>
    </w:p>
    <w:bookmarkStart w:id="15" w:name="Xcf4fbff1447d525c4c5db57ec7cfabb6ad303ba"/>
    <w:p>
      <w:pPr>
        <w:pStyle w:val="Heading1"/>
      </w:pPr>
      <w:r>
        <w:t xml:space="preserve">Mettler-Toledo (MTD) — Q2 2026 Earnings Preview</w:t>
      </w:r>
    </w:p>
    <w:bookmarkStart w:id="9" w:name="X6393ba297dbb64348621510278e9f9b165261c1"/>
    <w:p>
      <w:pPr>
        <w:pStyle w:val="Heading3"/>
      </w:pPr>
      <w:r>
        <w:t xml:space="preserve">Reports after the close Wednesday, July 30, 2026 · Conference call Thursday, July 31, 8:30 a.m.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MTD enters this print having</w:t>
      </w:r>
      <w:r>
        <w:t xml:space="preserve"> </w:t>
      </w:r>
      <w:r>
        <w:rPr>
          <w:i/>
          <w:iCs/>
        </w:rPr>
        <w:t xml:space="preserve">beaten and raised</w:t>
      </w:r>
      <w:r>
        <w:t xml:space="preserve"> </w:t>
      </w:r>
      <w:r>
        <w:t xml:space="preserve">last quarter, yet the stock fell ~15% the next day — the sharpest reaction in years. That disconnect frames Q2: the market is less focused on the near-term number (which management has a long history of clearing) and more on whether the</w:t>
      </w:r>
      <w:r>
        <w:t xml:space="preserve"> </w:t>
      </w:r>
      <w:r>
        <w:rPr>
          <w:b/>
          <w:bCs/>
        </w:rPr>
        <w:t xml:space="preserve">second-half growth acceleration baked into guidance is credible</w:t>
      </w:r>
      <w:r>
        <w:t xml:space="preserve">. This report is the first real checkpoint on that thesis.</w:t>
      </w:r>
    </w:p>
    <w:bookmarkEnd w:id="10"/>
    <w:bookmarkStart w:id="11" w:name="what-guidance-calls-for"/>
    <w:p>
      <w:pPr>
        <w:pStyle w:val="Heading2"/>
      </w:pPr>
      <w:r>
        <w:t xml:space="preserve">What guidance calls for</w:t>
      </w:r>
    </w:p>
    <w:p>
      <w:pPr>
        <w:pStyle w:val="FirstParagraph"/>
      </w:pPr>
      <w:r>
        <w:t xml:space="preserve">Management's Q1 outlook (issued May 7) set the bar: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Q2 2025 actual</w:t>
            </w:r>
          </w:p>
        </w:tc>
        <w:tc>
          <w:tcPr/>
          <w:p>
            <w:pPr>
              <w:pStyle w:val="Compact"/>
            </w:pPr>
            <w:r>
              <w:t xml:space="preserve">Implied growth</w:t>
            </w:r>
          </w:p>
        </w:tc>
      </w:tr>
      <w:tr>
        <w:tc>
          <w:tcPr/>
          <w:p>
            <w:pPr>
              <w:pStyle w:val="Compact"/>
            </w:pPr>
            <w:r>
              <w:t xml:space="preserve">Local-currency sales</w:t>
            </w:r>
          </w:p>
        </w:tc>
        <w:tc>
          <w:tcPr/>
          <w:p>
            <w:pPr>
              <w:pStyle w:val="Compact"/>
            </w:pPr>
            <w:r>
              <w:t xml:space="preserve">~+3% (incl. ~1.5% from M&amp;A → ~1.5% organic)</w:t>
            </w:r>
          </w:p>
        </w:tc>
        <w:tc>
          <w:tcPr/>
          <w:p>
            <w:pPr>
              <w:pStyle w:val="Compact"/>
            </w:pPr>
            <w:r>
              <w:t xml:space="preserve">+2% LC</w:t>
            </w:r>
          </w:p>
        </w:tc>
        <w:tc>
          <w:tcPr/>
          <w:p>
            <w:pPr>
              <w:pStyle w:val="Compact"/>
            </w:pPr>
            <w:r>
              <w:t xml:space="preserve">—</w:t>
            </w:r>
          </w:p>
        </w:tc>
      </w:tr>
      <w:tr>
        <w:tc>
          <w:tcPr/>
          <w:p>
            <w:pPr>
              <w:pStyle w:val="Compact"/>
            </w:pPr>
            <w:r>
              <w:t xml:space="preserve">Adjusted EPS</w:t>
            </w:r>
          </w:p>
        </w:tc>
        <w:tc>
          <w:tcPr/>
          <w:p>
            <w:pPr>
              <w:pStyle w:val="Compact"/>
            </w:pPr>
            <w:r>
              <w:rPr>
                <w:b/>
                <w:bCs/>
              </w:rPr>
              <w:t xml:space="preserve">$10.70 – $10.85</w:t>
            </w:r>
          </w:p>
        </w:tc>
        <w:tc>
          <w:tcPr/>
          <w:p>
            <w:pPr>
              <w:pStyle w:val="Compact"/>
            </w:pPr>
            <w:r>
              <w:t xml:space="preserve">$10.09</w:t>
            </w:r>
          </w:p>
        </w:tc>
        <w:tc>
          <w:tcPr/>
          <w:p>
            <w:pPr>
              <w:pStyle w:val="Compact"/>
            </w:pPr>
            <w:r>
              <w:rPr>
                <w:b/>
                <w:bCs/>
              </w:rPr>
              <w:t xml:space="preserve">+6% to +8%</w:t>
            </w:r>
          </w:p>
        </w:tc>
      </w:tr>
      <w:tr>
        <w:tc>
          <w:tcPr/>
          <w:p>
            <w:pPr>
              <w:pStyle w:val="Compact"/>
            </w:pPr>
            <w:r>
              <w:t xml:space="preserve">FX impact</w:t>
            </w:r>
          </w:p>
        </w:tc>
        <w:tc>
          <w:tcPr/>
          <w:p>
            <w:pPr>
              <w:pStyle w:val="Compact"/>
            </w:pPr>
            <w:r>
              <w:t xml:space="preserve">~+2% to sales, neutral to EPS</w:t>
            </w:r>
          </w:p>
        </w:tc>
        <w:tc>
          <w:tcPr/>
          <w:p>
            <w:pPr>
              <w:pStyle w:val="Compact"/>
            </w:pPr>
            <w:r>
              <w:t xml:space="preserve">—</w:t>
            </w:r>
          </w:p>
        </w:tc>
        <w:tc>
          <w:tcPr/>
          <w:p>
            <w:pPr>
              <w:pStyle w:val="Compact"/>
            </w:pPr>
            <w:r>
              <w:t xml:space="preserve">—</w:t>
            </w:r>
          </w:p>
        </w:tc>
      </w:tr>
    </w:tbl>
    <w:p>
      <w:pPr>
        <w:pStyle w:val="BodyText"/>
      </w:pPr>
      <w:r>
        <w:t xml:space="preserve">For the full year, management held local-currency sales growth at</w:t>
      </w:r>
      <w:r>
        <w:t xml:space="preserve"> </w:t>
      </w:r>
      <w:r>
        <w:rPr>
          <w:b/>
          <w:bCs/>
        </w:rPr>
        <w:t xml:space="preserve">~4%</w:t>
      </w:r>
      <w:r>
        <w:t xml:space="preserve"> </w:t>
      </w:r>
      <w:r>
        <w:t xml:space="preserve">and nudged adjusted EPS to</w:t>
      </w:r>
      <w:r>
        <w:t xml:space="preserve"> </w:t>
      </w:r>
      <m:oMath>
        <m:r>
          <m:t>46.30</m:t>
        </m:r>
        <m:r>
          <m:rPr>
            <m:sty m:val="p"/>
          </m:rPr>
          <m:t>–</m:t>
        </m:r>
      </m:oMath>
      <w:r>
        <w:rPr>
          <w:b/>
          <w:bCs/>
        </w:rPr>
        <w:t xml:space="preserve">46.95 (+8% to +10%)</w:t>
      </w:r>
      <w:r>
        <w:t xml:space="preserve">, up from</w:t>
      </w:r>
      <w:r>
        <w:t xml:space="preserve"> </w:t>
      </w:r>
      <m:oMath>
        <m:r>
          <m:t>46.05</m:t>
        </m:r>
        <m:r>
          <m:rPr>
            <m:sty m:val="p"/>
          </m:rPr>
          <m:t>–</m:t>
        </m:r>
      </m:oMath>
      <w:r>
        <w:t xml:space="preserve">46.70. Full-year framework also includes: ~19% tax rate, ~</w:t>
      </w:r>
      <m:oMath>
        <m:r>
          <m:t>70</m:t>
        </m:r>
        <m:r>
          <m:t>M</m:t>
        </m:r>
        <m:r>
          <m:t>i</m:t>
        </m:r>
        <m:r>
          <m:t>n</m:t>
        </m:r>
        <m:r>
          <m:t>t</m:t>
        </m:r>
        <m:r>
          <m:t>e</m:t>
        </m:r>
        <m:r>
          <m:t>r</m:t>
        </m:r>
        <m:r>
          <m:t>e</m:t>
        </m:r>
        <m:r>
          <m:t>s</m:t>
        </m:r>
        <m:r>
          <m:t>t</m:t>
        </m:r>
        <m:r>
          <m:t>e</m:t>
        </m:r>
        <m:r>
          <m:t>x</m:t>
        </m:r>
        <m:r>
          <m:t>p</m:t>
        </m:r>
        <m:r>
          <m:t>e</m:t>
        </m:r>
        <m:r>
          <m:t>n</m:t>
        </m:r>
        <m:r>
          <m:t>s</m:t>
        </m:r>
        <m:r>
          <m:t>e</m:t>
        </m:r>
        <m:r>
          <m:rPr>
            <m:sty m:val="p"/>
          </m:rPr>
          <m:t>,</m:t>
        </m:r>
        <m:r>
          <m:t> </m:t>
        </m:r>
      </m:oMath>
      <w:r>
        <w:t xml:space="preserve">900M free cash flow, and</w:t>
      </w:r>
      <w:r>
        <w:t xml:space="preserve"> </w:t>
      </w:r>
      <w:r>
        <w:rPr>
          <w:b/>
          <w:bCs/>
        </w:rPr>
        <w:t xml:space="preserve">$825–875M of buybacks</w:t>
      </w:r>
      <w:r>
        <w:t xml:space="preserve">.</w:t>
      </w:r>
    </w:p>
    <w:p>
      <w:pPr>
        <w:pStyle w:val="BodyText"/>
      </w:pPr>
      <w:r>
        <w:t xml:space="preserve">The key math investors should internalize: Q2 organic is guided to only ~1.5%, so</w:t>
      </w:r>
      <w:r>
        <w:t xml:space="preserve"> </w:t>
      </w:r>
      <w:r>
        <w:rPr>
          <w:b/>
          <w:bCs/>
        </w:rPr>
        <w:t xml:space="preserve">the ~4% full-year organic target requires a meaningful ramp in H2</w:t>
      </w:r>
      <w:r>
        <w:t xml:space="preserve">. That ramp is the entire debate.</w:t>
      </w:r>
    </w:p>
    <w:bookmarkEnd w:id="11"/>
    <w:bookmarkStart w:id="12" w:name="X0c0f8bffa2821725bb3fc250961fd67f4b3bb39"/>
    <w:p>
      <w:pPr>
        <w:pStyle w:val="Heading2"/>
      </w:pPr>
      <w:r>
        <w:t xml:space="preserve">Why the stock fell on a beat-and-raise last quarter</w:t>
      </w:r>
    </w:p>
    <w:p>
      <w:pPr>
        <w:pStyle w:val="FirstParagraph"/>
      </w:pPr>
      <w:r>
        <w:t xml:space="preserve">Q1 itself was solid — adjusted EPS of $8.91 (+9%), local-currency sales +3% (+1% ex-acquisitions), and a raised full-year EPS range. But three things unsettled investors:</w:t>
      </w:r>
    </w:p>
    <w:p>
      <w:pPr>
        <w:pStyle w:val="Compact"/>
        <w:numPr>
          <w:ilvl w:val="0"/>
          <w:numId w:val="1001"/>
        </w:numPr>
      </w:pPr>
      <w:r>
        <w:rPr>
          <w:b/>
          <w:bCs/>
        </w:rPr>
        <w:t xml:space="preserve">A modest trim to the organic assumption</w:t>
      </w:r>
      <w:r>
        <w:t xml:space="preserve">, offset by a higher M&amp;A contribution (M&amp;A now ~1.5% of first-half growth vs. the ~0.5%/year originally modeled) — i.e., the underlying business softened slightly.</w:t>
      </w:r>
    </w:p>
    <w:p>
      <w:pPr>
        <w:pStyle w:val="Compact"/>
        <w:numPr>
          <w:ilvl w:val="0"/>
          <w:numId w:val="1001"/>
        </w:numPr>
      </w:pPr>
      <w:r>
        <w:t xml:space="preserve">A</w:t>
      </w:r>
      <w:r>
        <w:t xml:space="preserve"> </w:t>
      </w:r>
      <w:r>
        <w:rPr>
          <w:b/>
          <w:bCs/>
        </w:rPr>
        <w:t xml:space="preserve">cautious, "second-half-loaded" tone</w:t>
      </w:r>
      <w:r>
        <w:t xml:space="preserve">. Management leaned on pipeline/funnel indicators and improving PMIs to justify the H2 step-up, while acknowledging customer</w:t>
      </w:r>
      <w:r>
        <w:t xml:space="preserve"> </w:t>
      </w:r>
      <w:r>
        <w:rPr>
          <w:i/>
          <w:iCs/>
        </w:rPr>
        <w:t xml:space="preserve">delays</w:t>
      </w:r>
      <w:r>
        <w:t xml:space="preserve"> </w:t>
      </w:r>
      <w:r>
        <w:t xml:space="preserve">(not cancellations) tied to macro and Middle East-driven uncertainty.</w:t>
      </w:r>
    </w:p>
    <w:p>
      <w:pPr>
        <w:pStyle w:val="Compact"/>
        <w:numPr>
          <w:ilvl w:val="0"/>
          <w:numId w:val="1001"/>
        </w:numPr>
      </w:pPr>
      <w:r>
        <w:rPr>
          <w:b/>
          <w:bCs/>
        </w:rPr>
        <w:t xml:space="preserve">Tariffs and inflation</w:t>
      </w:r>
      <w:r>
        <w:t xml:space="preserve"> </w:t>
      </w:r>
      <w:r>
        <w:t xml:space="preserve">as live 2026 swing factors.</w:t>
      </w:r>
    </w:p>
    <w:p>
      <w:pPr>
        <w:pStyle w:val="FirstParagraph"/>
      </w:pPr>
      <w:r>
        <w:t xml:space="preserve">Notably, the shares troughed near ~</w:t>
      </w:r>
      <m:oMath>
        <m:r>
          <m:t>1</m:t>
        </m:r>
        <m:r>
          <m:rPr>
            <m:sty m:val="p"/>
          </m:rPr>
          <m:t>,</m:t>
        </m:r>
        <m:r>
          <m:t>025</m:t>
        </m:r>
        <m:r>
          <m:t>i</m:t>
        </m:r>
        <m:r>
          <m:t>n</m:t>
        </m:r>
        <m:r>
          <m:t>m</m:t>
        </m:r>
        <m:r>
          <m:t>i</m:t>
        </m:r>
        <m:r>
          <m:t>d</m:t>
        </m:r>
        <m:r>
          <m:rPr>
            <m:sty m:val="p"/>
          </m:rPr>
          <m:t>−</m:t>
        </m:r>
        <m:r>
          <m:t>M</m:t>
        </m:r>
        <m:r>
          <m:t>a</m:t>
        </m:r>
        <m:r>
          <m:t>y</m:t>
        </m:r>
        <m:r>
          <m:t>a</m:t>
        </m:r>
        <m:r>
          <m:t>n</m:t>
        </m:r>
        <m:r>
          <m:t>d</m:t>
        </m:r>
        <m:r>
          <m:t>h</m:t>
        </m:r>
        <m:r>
          <m:t>a</m:t>
        </m:r>
        <m:r>
          <m:t>v</m:t>
        </m:r>
        <m:r>
          <m:t>e</m:t>
        </m:r>
        <m:r>
          <m:t>s</m:t>
        </m:r>
        <m:r>
          <m:t>i</m:t>
        </m:r>
        <m:r>
          <m:t>n</m:t>
        </m:r>
        <m:r>
          <m:t>c</m:t>
        </m:r>
        <m:r>
          <m:t>e</m:t>
        </m:r>
        <m:r>
          <m:t>r</m:t>
        </m:r>
        <m:r>
          <m:t>e</m:t>
        </m:r>
        <m:r>
          <m:t>b</m:t>
        </m:r>
        <m:r>
          <m:t>o</m:t>
        </m:r>
        <m:r>
          <m:t>u</m:t>
        </m:r>
        <m:r>
          <m:t>n</m:t>
        </m:r>
        <m:r>
          <m:t>d</m:t>
        </m:r>
        <m:r>
          <m:t>e</m:t>
        </m:r>
        <m:r>
          <m:t>d</m:t>
        </m:r>
        <m:r>
          <m:t>t</m:t>
        </m:r>
        <m:r>
          <m:t>o</m:t>
        </m:r>
        <m:r>
          <m:t> </m:t>
        </m:r>
      </m:oMath>
      <w:r>
        <w:t xml:space="preserve">1,391 (roughly flat YTD, with a sharp move up on July 28). So expectations have partially re-rated higher into the print — the "cheap and hated" cushion from May is largely gone.</w:t>
      </w:r>
    </w:p>
    <w:bookmarkEnd w:id="12"/>
    <w:bookmarkStart w:id="13" w:name="X405848bdea4ea65f8f7f0466fecb87b47981026"/>
    <w:p>
      <w:pPr>
        <w:pStyle w:val="Heading2"/>
      </w:pPr>
      <w:r>
        <w:t xml:space="preserve">The five things that matter most on this call</w:t>
      </w:r>
    </w:p>
    <w:p>
      <w:pPr>
        <w:pStyle w:val="FirstParagraph"/>
      </w:pPr>
      <w:r>
        <w:rPr>
          <w:b/>
          <w:bCs/>
        </w:rPr>
        <w:t xml:space="preserve">1. Is the H2 acceleration still intact?</w:t>
      </w:r>
      <w:r>
        <w:t xml:space="preserve"> </w:t>
      </w:r>
      <w:r>
        <w:t xml:space="preserve">This is the crux. Watch the</w:t>
      </w:r>
      <w:r>
        <w:t xml:space="preserve"> </w:t>
      </w:r>
      <w:r>
        <w:rPr>
          <w:b/>
          <w:bCs/>
        </w:rPr>
        <w:t xml:space="preserve">Q3 guide</w:t>
      </w:r>
      <w:r>
        <w:t xml:space="preserve"> </w:t>
      </w:r>
      <w:r>
        <w:t xml:space="preserve">and any change to the full-year organic framework. Management deflects backlog questions (only ~1.5 months of backlog), so pay attention to qualitative pipeline/funnel commentary and whether "delayed" Q1 orders are converting. Any softening of the H2 ramp language would be the biggest negative; reaffirmation with converting orders would be the biggest positive.</w:t>
      </w:r>
    </w:p>
    <w:p>
      <w:pPr>
        <w:pStyle w:val="BodyText"/>
      </w:pPr>
      <w:r>
        <w:rPr>
          <w:b/>
          <w:bCs/>
        </w:rPr>
        <w:t xml:space="preserve">2. China momentum — the standout.</w:t>
      </w:r>
      <w:r>
        <w:t xml:space="preserve"> </w:t>
      </w:r>
      <w:r>
        <w:t xml:space="preserve">China grew +4% in Q1 with Industrial up high-single-digits — the third straight quarter of solid industrial growth, driven by automation/digitalization investment and pharma (Pharmacopoeia-driven QC/R&amp;D replacement),</w:t>
      </w:r>
      <w:r>
        <w:t xml:space="preserve"> </w:t>
      </w:r>
      <w:r>
        <w:rPr>
          <w:i/>
          <w:iCs/>
        </w:rPr>
        <w:t xml:space="preserve">not</w:t>
      </w:r>
      <w:r>
        <w:t xml:space="preserve"> </w:t>
      </w:r>
      <w:r>
        <w:t xml:space="preserve">product inspection. Management raised the full-year China outlook to mid-single-digit. Watch whether this momentum builds; it's the most credible pillar of the H2 story.</w:t>
      </w:r>
    </w:p>
    <w:p>
      <w:pPr>
        <w:pStyle w:val="BodyText"/>
      </w:pPr>
      <w:r>
        <w:rPr>
          <w:b/>
          <w:bCs/>
        </w:rPr>
        <w:t xml:space="preserve">3. Where's the softness — chemical &amp; Europe, pipettes/academia.</w:t>
      </w:r>
      <w:r>
        <w:t xml:space="preserve"> </w:t>
      </w:r>
      <w:r>
        <w:t xml:space="preserve">Q1 weak spots to monitor: European</w:t>
      </w:r>
      <w:r>
        <w:t xml:space="preserve"> </w:t>
      </w:r>
      <w:r>
        <w:rPr>
          <w:b/>
          <w:bCs/>
        </w:rPr>
        <w:t xml:space="preserve">chemical</w:t>
      </w:r>
      <w:r>
        <w:t xml:space="preserve"> </w:t>
      </w:r>
      <w:r>
        <w:t xml:space="preserve">demand (pressured by high energy costs — a pushout vs. structural cut is still unresolved), and</w:t>
      </w:r>
      <w:r>
        <w:t xml:space="preserve"> </w:t>
      </w:r>
      <w:r>
        <w:rPr>
          <w:b/>
          <w:bCs/>
        </w:rPr>
        <w:t xml:space="preserve">pipettes / academia</w:t>
      </w:r>
      <w:r>
        <w:t xml:space="preserve"> </w:t>
      </w:r>
      <w:r>
        <w:t xml:space="preserve">(down in Q1; management now models flattish, not declining). Europe was guided to step up in Q2 (bioprocessing), so a miss there would question the ramp.</w:t>
      </w:r>
    </w:p>
    <w:p>
      <w:pPr>
        <w:pStyle w:val="BodyText"/>
      </w:pPr>
      <w:r>
        <w:rPr>
          <w:b/>
          <w:bCs/>
        </w:rPr>
        <w:t xml:space="preserve">4. Tariffs, pricing and margins.</w:t>
      </w:r>
      <w:r>
        <w:t xml:space="preserve"> </w:t>
      </w:r>
      <w:r>
        <w:t xml:space="preserve">Q1 carried a ~90 bp gross-tariff headwind to operating margin (~4% gross EPS headwind), largely offset by price and supply-chain savings; adjusted operating margin was 26.0%. Guidance assumes the Feb tariff-rate benefit reverses to prior IEEPA levels around midyear, with inflation roughly offsetting the benefit and mitigation as potential upside.</w:t>
      </w:r>
      <w:r>
        <w:t xml:space="preserve"> </w:t>
      </w:r>
      <w:r>
        <w:rPr>
          <w:b/>
          <w:bCs/>
        </w:rPr>
        <w:t xml:space="preserve">Pricing steps down</w:t>
      </w:r>
      <w:r>
        <w:t xml:space="preserve"> </w:t>
      </w:r>
      <w:r>
        <w:t xml:space="preserve">from ~3.5% (Q1) to ~2.5% in Q2 and a normalized ~2% in H2 as prior-year increases lap — watch whether pricing power holds against volume. Q2 2025's 28.8% adjusted operating margin is the comp.</w:t>
      </w:r>
    </w:p>
    <w:p>
      <w:pPr>
        <w:pStyle w:val="BodyText"/>
      </w:pPr>
      <w:r>
        <w:rPr>
          <w:b/>
          <w:bCs/>
        </w:rPr>
        <w:t xml:space="preserve">5. FX flips to a tailwind, and capital allocation.</w:t>
      </w:r>
      <w:r>
        <w:t xml:space="preserve"> </w:t>
      </w:r>
      <w:r>
        <w:t xml:space="preserve">FX is now a ~2%</w:t>
      </w:r>
      <w:r>
        <w:t xml:space="preserve"> </w:t>
      </w:r>
      <w:r>
        <w:rPr>
          <w:i/>
          <w:iCs/>
        </w:rPr>
        <w:t xml:space="preserve">tailwind</w:t>
      </w:r>
      <w:r>
        <w:t xml:space="preserve"> </w:t>
      </w:r>
      <w:r>
        <w:t xml:space="preserve">to sales (neutral to EPS) — a reversal from 2025's headwind and a modest help to optics. On capital return, MTD repurchased ~$206M of stock in Q1; confirm the buyback pace toward the $825–875M full-year target given a lower average share price this year.</w:t>
      </w:r>
    </w:p>
    <w:bookmarkEnd w:id="13"/>
    <w:bookmarkStart w:id="14" w:name="bottom-line"/>
    <w:p>
      <w:pPr>
        <w:pStyle w:val="Heading2"/>
      </w:pPr>
      <w:r>
        <w:t xml:space="preserve">Bottom line</w:t>
      </w:r>
    </w:p>
    <w:p>
      <w:pPr>
        <w:pStyle w:val="FirstParagraph"/>
      </w:pPr>
      <w:r>
        <w:t xml:space="preserve">A simple in-line-to-slightly-better print is probably necessary but</w:t>
      </w:r>
      <w:r>
        <w:t xml:space="preserve"> </w:t>
      </w:r>
      <w:r>
        <w:rPr>
          <w:i/>
          <w:iCs/>
        </w:rPr>
        <w:t xml:space="preserve">not sufficient</w:t>
      </w:r>
      <w:r>
        <w:t xml:space="preserve"> </w:t>
      </w:r>
      <w:r>
        <w:t xml:space="preserve">this quarter. With the stock having recovered most of its May decline, the reaction likely hinges on</w:t>
      </w:r>
      <w:r>
        <w:t xml:space="preserve"> </w:t>
      </w:r>
      <w:r>
        <w:rPr>
          <w:b/>
          <w:bCs/>
        </w:rPr>
        <w:t xml:space="preserve">credibility of the second-half ramp</w:t>
      </w:r>
      <w:r>
        <w:t xml:space="preserve">: converting the pipeline, sustained China industrial strength, stabilization in European chemical/academia, and the Q3/full-year guide. Given MTD's long track record of conservative guidance and share-gain execution, the risk skew is asymmetric — a confident reaffirmation with concrete pipeline evidence could re-rate the stock, while any hint that H2 growth is slipping would hit hard against the recent rally.</w:t>
      </w:r>
    </w:p>
    <w:p>
      <w:pPr>
        <w:pStyle w:val="BodyText"/>
      </w:pPr>
      <w:r>
        <w:rPr>
          <w:i/>
          <w:iCs/>
        </w:rPr>
        <w:t xml:space="preserve">Note: An insider (Kelly, Michael A.) filed a Form 144 on July 28 indicating intent to sell ~$1.15M of stock — routine in size, but worth flagging around the print.</w:t>
      </w:r>
    </w:p>
    <w:p>
      <w:r>
        <w:pict>
          <v:rect style="width:0;height:1.5pt" o:hralign="center" o:hrstd="t" o:hr="t"/>
        </w:pict>
      </w:r>
    </w:p>
    <w:p>
      <w:pPr>
        <w:pStyle w:val="FirstParagraph"/>
      </w:pPr>
      <w:r>
        <w:rPr>
          <w:i/>
          <w:iCs/>
        </w:rPr>
        <w:t xml:space="preserve">Sources: MTD Q1 2026 earnings release and conference call (reported May 7–8, 2026); Q2 2025 earnings release (July 31, 2025); MTD daily price history; SEC filing feed. All figures are company-reported or management guidance as of the Q1 2026 call.</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2026-07-29T20:01:49Z</dcterms:created>
  <dcterms:modified xsi:type="dcterms:W3CDTF">2026-07-29T20:01:49Z</dcterms:modified>
</cp:coreProperties>
</file>

<file path=docProps/custom.xml><?xml version="1.0" encoding="utf-8"?>
<Properties xmlns="http://schemas.openxmlformats.org/officeDocument/2006/custom-properties" xmlns:vt="http://schemas.openxmlformats.org/officeDocument/2006/docPropsVTypes"/>
</file>