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td-earnings-predictions--2026-07-30"/>
    <w:p>
      <w:pPr>
        <w:pStyle w:val="Heading1"/>
      </w:pPr>
      <w:r>
        <w:t xml:space="preserve">MTD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~$10.95 vs. cons $10.79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sales, reported USD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~$1.035B vs. cons $1.03B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~27.5% vs. cons ~27.6%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local-currency sales growth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~4% vs. cons ~3.3%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11.10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10.95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 range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46.60</m:t>
              </m:r>
              <m:r>
                <m:rPr>
                  <m:sty m:val="p"/>
                </m:rPr>
                <m:t>−</m:t>
              </m:r>
            </m:oMath>
            <w:r>
              <w:t xml:space="preserve">47.20 vs. cons ~$46.55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(STABILIZE)</w:t>
            </w:r>
          </w:p>
        </w:tc>
        <w:tc>
          <w:tcPr/>
          <w:p>
            <w:pPr>
              <w:pStyle w:val="Compact"/>
            </w:pPr>
            <w:r>
              <w:t xml:space="preserve">Stock has already rallied ~35% off the May low and sits back above most sell-side price targets, so a modest EPS beat with in-line revenue/margin and only incremental Q3/FY raises (not a blowout) likely triggers 'sell the news' profit-taking rather than fresh buying, but because guidance is being raised (not cut) there's no implicit out-period estimate-cut dynamic to drive a bigger post-print fade; absent a new catalyst before Q3 results, the initial reaction should mostly hold over the following days with only slight incremental drift rather than a strong follow-through selloff or a reversal/rebound.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2026-07-30T00:06:34Z</dcterms:created>
  <dcterms:modified xsi:type="dcterms:W3CDTF">2026-07-30T00:06:34Z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