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1a47a168b8c4bb3b2772631964ec58786e3eb43"/>
    <w:p>
      <w:pPr>
        <w:pStyle w:val="Heading1"/>
      </w:pPr>
      <w:r>
        <w:t xml:space="preserve">Mettler-Toledo (MTD) Q2 2026 Earnings Preview</w:t>
      </w:r>
    </w:p>
    <w:p>
      <w:pPr>
        <w:pStyle w:val="FirstParagraph"/>
      </w:pPr>
      <w:r>
        <w:rPr>
          <w:b/>
          <w:bCs/>
        </w:rPr>
        <w:t xml:space="preserve">Report date:</w:t>
      </w:r>
      <w:r>
        <w:t xml:space="preserve"> </w:t>
      </w:r>
      <w:r>
        <w:t xml:space="preserve">Thursday, July 30, 2026 (after market close) |</w:t>
      </w:r>
      <w:r>
        <w:t xml:space="preserve"> </w:t>
      </w:r>
      <w:r>
        <w:rPr>
          <w:b/>
          <w:bCs/>
        </w:rPr>
        <w:t xml:space="preserve">Call:</w:t>
      </w:r>
      <w:r>
        <w:t xml:space="preserve"> </w:t>
      </w:r>
      <w:r>
        <w:t xml:space="preserve">Friday, July 31, 7:30 a.m. ET</w:t>
      </w:r>
    </w:p>
    <w:bookmarkStart w:id="9" w:name="setting-the-stage"/>
    <w:p>
      <w:pPr>
        <w:pStyle w:val="Heading2"/>
      </w:pPr>
      <w:r>
        <w:t xml:space="preserve">Setting the Stage</w:t>
      </w:r>
    </w:p>
    <w:p>
      <w:pPr>
        <w:pStyle w:val="FirstParagraph"/>
      </w:pPr>
      <w:r>
        <w:t xml:space="preserve">Mettler-Toledo has had a volatile 2026. The stock plunged roughly 15% the day after Q1 results (May 8) despite an EPS beat, as investors focused on margin pressure from tariffs and cautious commentary about macro uncertainty tied to the Middle East conflict. Shares bottomed near</w:t>
      </w:r>
      <w:r>
        <w:t xml:space="preserve"> </w:t>
      </w:r>
      <m:oMath>
        <m:r>
          <m:t>1</m:t>
        </m:r>
        <m:r>
          <m:rPr>
            <m:sty m:val="p"/>
          </m:rPr>
          <m:t>,</m:t>
        </m:r>
        <m:r>
          <m:t>025</m:t>
        </m:r>
        <m:r>
          <m:t>i</m:t>
        </m:r>
        <m:r>
          <m:t>n</m:t>
        </m:r>
        <m:r>
          <m:t>m</m:t>
        </m:r>
        <m:r>
          <m:t>i</m:t>
        </m:r>
        <m:r>
          <m:t>d</m:t>
        </m:r>
        <m:r>
          <m:rPr>
            <m:sty m:val="p"/>
          </m:rPr>
          <m:t>−</m:t>
        </m:r>
        <m:r>
          <m:t>M</m:t>
        </m:r>
        <m:r>
          <m:t>a</m:t>
        </m:r>
        <m:r>
          <m:t>y</m:t>
        </m:r>
        <m:r>
          <m:t>b</m:t>
        </m:r>
        <m:r>
          <m:t>e</m:t>
        </m:r>
        <m:r>
          <m:t>f</m:t>
        </m:r>
        <m:r>
          <m:t>o</m:t>
        </m:r>
        <m:r>
          <m:t>r</m:t>
        </m:r>
        <m:r>
          <m:t>e</m:t>
        </m:r>
        <m:r>
          <m:t>s</m:t>
        </m:r>
        <m:r>
          <m:t>t</m:t>
        </m:r>
        <m:r>
          <m:t>a</m:t>
        </m:r>
        <m:r>
          <m:t>g</m:t>
        </m:r>
        <m:r>
          <m:t>i</m:t>
        </m:r>
        <m:r>
          <m:t>n</m:t>
        </m:r>
        <m:r>
          <m:t>g</m:t>
        </m:r>
        <m:r>
          <m:t>a</m:t>
        </m:r>
        <m:r>
          <m:t>s</m:t>
        </m:r>
        <m:r>
          <m:t>t</m:t>
        </m:r>
        <m:r>
          <m:t>r</m:t>
        </m:r>
        <m:r>
          <m:t>o</m:t>
        </m:r>
        <m:r>
          <m:t>n</m:t>
        </m:r>
        <m:r>
          <m:t>g</m:t>
        </m:r>
        <m:r>
          <m:t>r</m:t>
        </m:r>
        <m:r>
          <m:t>e</m:t>
        </m:r>
        <m:r>
          <m:t>c</m:t>
        </m:r>
        <m:r>
          <m:t>o</m:t>
        </m:r>
        <m:r>
          <m:t>v</m:t>
        </m:r>
        <m:r>
          <m:t>e</m:t>
        </m:r>
        <m:r>
          <m:t>r</m:t>
        </m:r>
        <m:r>
          <m:t>y</m:t>
        </m:r>
        <m:r>
          <m:rPr>
            <m:sty m:val="p"/>
          </m:rPr>
          <m:t>—</m:t>
        </m:r>
        <m:r>
          <m:t>c</m:t>
        </m:r>
        <m:r>
          <m:t>l</m:t>
        </m:r>
        <m:r>
          <m:t>o</m:t>
        </m:r>
        <m:r>
          <m:t>s</m:t>
        </m:r>
        <m:r>
          <m:t>i</m:t>
        </m:r>
        <m:r>
          <m:t>n</m:t>
        </m:r>
        <m:r>
          <m:t>g</m:t>
        </m:r>
        <m:r>
          <m:t>a</m:t>
        </m:r>
        <m:r>
          <m:t>t</m:t>
        </m:r>
        <m:r>
          <m:rPr>
            <m:sty m:val="p"/>
          </m:rPr>
          <m:t>*</m:t>
        </m:r>
        <m:r>
          <m:rPr>
            <m:sty m:val="p"/>
          </m:rPr>
          <m:t>*</m:t>
        </m:r>
      </m:oMath>
      <w:r>
        <w:t xml:space="preserve">1,388** on July 29, actually</w:t>
      </w:r>
      <w:r>
        <w:t xml:space="preserve"> </w:t>
      </w:r>
      <w:r>
        <w:rPr>
          <w:i/>
          <w:iCs/>
        </w:rPr>
        <w:t xml:space="preserve">above</w:t>
      </w:r>
      <w:r>
        <w:t xml:space="preserve"> </w:t>
      </w:r>
      <w:r>
        <w:t xml:space="preserve">where the stock traded before the Q1 report. That round trip sets up tomorrow's print as a key test of whether the "second-half acceleration" story management has been selling since May is starting to show up in the numbers.</w:t>
      </w:r>
    </w:p>
    <w:bookmarkEnd w:id="9"/>
    <w:bookmarkStart w:id="10" w:name="what-happened-last-quarter-q1-2026-recap"/>
    <w:p>
      <w:pPr>
        <w:pStyle w:val="Heading2"/>
      </w:pPr>
      <w:r>
        <w:t xml:space="preserve">What Happened Last Quarter (Q1 2026 Recap)</w:t>
      </w:r>
    </w:p>
    <w:p>
      <w:pPr>
        <w:pStyle w:val="FirstParagraph"/>
      </w:pPr>
      <w:r>
        <w:t xml:space="preserve">Q1 sales came in at $947 million, up 3% in local currency (1% organic), with adjusted EPS of $8.91, a 9% increase that beat consensus. Gross and operating margins were pressured by an estimated 90-basis-point incremental tariff headwind, though pricing and productivity mostly offset it. Management raised full-year adjusted EPS guidance modestly to</w:t>
      </w:r>
      <w:r>
        <w:t xml:space="preserve"> </w:t>
      </w:r>
      <m:oMath>
        <m:r>
          <m:t>46.30</m:t>
        </m:r>
        <m:r>
          <m:rPr>
            <m:sty m:val="p"/>
          </m:rPr>
          <m:t>–</m:t>
        </m:r>
      </m:oMath>
      <w:r>
        <w:t xml:space="preserve">46.95 (8–10% growth) from</w:t>
      </w:r>
      <w:r>
        <w:t xml:space="preserve"> </w:t>
      </w:r>
      <m:oMath>
        <m:r>
          <m:t>46.05</m:t>
        </m:r>
        <m:r>
          <m:rPr>
            <m:sty m:val="p"/>
          </m:rPr>
          <m:t>–</m:t>
        </m:r>
      </m:oMath>
      <w:r>
        <w:t xml:space="preserve">46.70, while reiterating ~4% full-year local-currency sales growth. The market's disappointment centered on</w:t>
      </w:r>
      <w:r>
        <w:t xml:space="preserve"> </w:t>
      </w:r>
      <w:r>
        <w:rPr>
          <w:b/>
          <w:bCs/>
        </w:rPr>
        <w:t xml:space="preserve">Q2 guidance of</w:t>
      </w:r>
      <w:r>
        <w:rPr>
          <w:b/>
          <w:bCs/>
        </w:rPr>
        <w:t xml:space="preserve"> </w:t>
      </w:r>
      <m:oMath>
        <m:r>
          <m:t>10.70</m:t>
        </m:r>
        <m:r>
          <m:rPr>
            <m:sty m:val="p"/>
          </m:rPr>
          <m:t>–</m:t>
        </m:r>
      </m:oMath>
      <w:r>
        <w:rPr>
          <w:b/>
          <w:bCs/>
        </w:rPr>
        <w:t xml:space="preserve">10.85 in adjusted EPS</w:t>
      </w:r>
      <w:r>
        <w:t xml:space="preserve">, which came in below the Street's prior estimate of roughly $10.96, alongside a soft ~3% local-currency sales growth outlook for the quarter.</w:t>
      </w:r>
    </w:p>
    <w:bookmarkEnd w:id="10"/>
    <w:bookmarkStart w:id="11" w:name="consensus-expectations-for-q2"/>
    <w:p>
      <w:pPr>
        <w:pStyle w:val="Heading2"/>
      </w:pPr>
      <w:r>
        <w:t xml:space="preserve">Consensus Expectations for Q2</w:t>
      </w:r>
    </w:p>
    <w:p>
      <w:pPr>
        <w:pStyle w:val="FirstParagraph"/>
      </w:pPr>
      <w:r>
        <w:t xml:space="preserve">Heading into the print, Wall Street is modeling:</w:t>
      </w:r>
    </w:p>
    <w:p>
      <w:pPr>
        <w:pStyle w:val="Compact"/>
        <w:numPr>
          <w:ilvl w:val="0"/>
          <w:numId w:val="1001"/>
        </w:numPr>
      </w:pPr>
      <w:r>
        <w:rPr>
          <w:b/>
          <w:bCs/>
        </w:rPr>
        <w:t xml:space="preserve">Adjusted EPS:</w:t>
      </w:r>
      <w:r>
        <w:t xml:space="preserve"> </w:t>
      </w:r>
      <w:r>
        <w:t xml:space="preserve">~</w:t>
      </w:r>
      <m:oMath>
        <m:r>
          <m:t>10.78</m:t>
        </m:r>
        <m:r>
          <m:rPr>
            <m:sty m:val="p"/>
          </m:rPr>
          <m:t>–</m:t>
        </m:r>
      </m:oMath>
      <w:r>
        <w:t xml:space="preserve">10.79 (within management's</w:t>
      </w:r>
      <w:r>
        <w:t xml:space="preserve"> </w:t>
      </w:r>
      <m:oMath>
        <m:r>
          <m:t>10.70</m:t>
        </m:r>
        <m:r>
          <m:rPr>
            <m:sty m:val="p"/>
          </m:rPr>
          <m:t>–</m:t>
        </m:r>
      </m:oMath>
      <w:r>
        <w:t xml:space="preserve">10.85 guided range, +6.8% y/y)</w:t>
      </w:r>
    </w:p>
    <w:p>
      <w:pPr>
        <w:pStyle w:val="Compact"/>
        <w:numPr>
          <w:ilvl w:val="0"/>
          <w:numId w:val="1001"/>
        </w:numPr>
      </w:pPr>
      <w:r>
        <w:rPr>
          <w:b/>
          <w:bCs/>
        </w:rPr>
        <w:t xml:space="preserve">Revenue:</w:t>
      </w:r>
      <w:r>
        <w:t xml:space="preserve"> </w:t>
      </w:r>
      <w:r>
        <w:t xml:space="preserve">~$1.03 billion (~4.7% y/y growth)</w:t>
      </w:r>
    </w:p>
    <w:p>
      <w:pPr>
        <w:pStyle w:val="Compact"/>
        <w:numPr>
          <w:ilvl w:val="0"/>
          <w:numId w:val="1001"/>
        </w:numPr>
      </w:pPr>
      <w:r>
        <w:t xml:space="preserve">Estimates have been largely stable over the past 30 days, with</w:t>
      </w:r>
      <w:r>
        <w:t xml:space="preserve"> </w:t>
      </w:r>
      <w:r>
        <w:rPr>
          <w:b/>
          <w:bCs/>
        </w:rPr>
        <w:t xml:space="preserve">Mettler-Toledo having beaten consensus EPS in each of the last four quarters</w:t>
      </w:r>
      <w:r>
        <w:t xml:space="preserve"> </w:t>
      </w:r>
      <w:r>
        <w:t xml:space="preserve">— a track record that raises the bar even as the guided growth rate has decelerated versus Q1.</w:t>
      </w:r>
    </w:p>
    <w:p>
      <w:pPr>
        <w:pStyle w:val="FirstParagraph"/>
      </w:pPr>
      <w:r>
        <w:t xml:space="preserve">For the full year, the Street sits at roughly</w:t>
      </w:r>
      <w:r>
        <w:t xml:space="preserve"> </w:t>
      </w:r>
      <m:oMath>
        <m:r>
          <m:t>46.51</m:t>
        </m:r>
        <m:r>
          <m:rPr>
            <m:sty m:val="p"/>
          </m:rPr>
          <m:t>–</m:t>
        </m:r>
      </m:oMath>
      <w:r>
        <w:rPr>
          <w:b/>
          <w:bCs/>
        </w:rPr>
        <w:t xml:space="preserve">46.60 in adjusted EPS</w:t>
      </w:r>
      <w:r>
        <w:t xml:space="preserve">, close to the midpoint of management's own</w:t>
      </w:r>
      <w:r>
        <w:t xml:space="preserve"> </w:t>
      </w:r>
      <m:oMath>
        <m:r>
          <m:t>46.30</m:t>
        </m:r>
        <m:r>
          <m:rPr>
            <m:sty m:val="p"/>
          </m:rPr>
          <m:t>–</m:t>
        </m:r>
      </m:oMath>
      <w:r>
        <w:t xml:space="preserve">46.95 range.</w:t>
      </w:r>
    </w:p>
    <w:bookmarkEnd w:id="11"/>
    <w:bookmarkStart w:id="12" w:name="key-themes-to-watch"/>
    <w:p>
      <w:pPr>
        <w:pStyle w:val="Heading2"/>
      </w:pPr>
      <w:r>
        <w:t xml:space="preserve">Key Themes to Watch</w:t>
      </w:r>
    </w:p>
    <w:p>
      <w:pPr>
        <w:pStyle w:val="FirstParagraph"/>
      </w:pPr>
      <w:r>
        <w:rPr>
          <w:b/>
          <w:bCs/>
        </w:rPr>
        <w:t xml:space="preserve">1. Does the "second-half inflection" thesis hold up?</w:t>
      </w:r>
      <w:r>
        <w:t xml:space="preserve"> </w:t>
      </w:r>
      <w:r>
        <w:t xml:space="preserve">Management spent the Q1 call building a case that Q1/Q2 softness (customer delays, geopolitical uncertainty) would give way to better growth in H2, pointing to improving PMIs, a stronger sales pipeline, and easier comps. Q2 results and — more importantly — any commentary on order trends and pipeline conversion will be the single biggest swing factor for sentiment. Any signs the delayed orders are converting (or, alternatively, further pushouts) will move the stock materially.</w:t>
      </w:r>
    </w:p>
    <w:p>
      <w:pPr>
        <w:pStyle w:val="BodyText"/>
      </w:pPr>
      <w:r>
        <w:rPr>
          <w:b/>
          <w:bCs/>
        </w:rPr>
        <w:t xml:space="preserve">2. China momentum — is it durable?</w:t>
      </w:r>
      <w:r>
        <w:t xml:space="preserve"> </w:t>
      </w:r>
      <w:r>
        <w:t xml:space="preserve">China was the standout in Q1, with sales up 4% and industrial/automation demand up high-single-digits for a third straight quarter, aided by a government grant tied to Shanghai-area capacity expansion. Investors will want to see this momentum continue, particularly in core industrial automation and pharma-related lab replacement tied to Pharmacopoeia changes.</w:t>
      </w:r>
    </w:p>
    <w:p>
      <w:pPr>
        <w:pStyle w:val="BodyText"/>
      </w:pPr>
      <w:r>
        <w:rPr>
          <w:b/>
          <w:bCs/>
        </w:rPr>
        <w:t xml:space="preserve">3. Lab segment recovery — bioprocessing vs. academia/pipettes.</w:t>
      </w:r>
      <w:r>
        <w:t xml:space="preserve"> </w:t>
      </w:r>
      <w:r>
        <w:t xml:space="preserve">Lab growth was soft in Q1 (flat organically) due to weak academic/biotech pipette demand and delayed chemical-customer investments in Europe, partially offset by strong bioprocessing. Watch for whether bioprocessing strength (tied to GLP-1 manufacturing buildouts) continues to offset ongoing academic softness, which management has said it does not expect to meaningfully improve this year.</w:t>
      </w:r>
    </w:p>
    <w:p>
      <w:pPr>
        <w:pStyle w:val="BodyText"/>
      </w:pPr>
      <w:r>
        <w:rPr>
          <w:b/>
          <w:bCs/>
        </w:rPr>
        <w:t xml:space="preserve">4. Tariffs and margin dynamics.</w:t>
      </w:r>
      <w:r>
        <w:t xml:space="preserve"> </w:t>
      </w:r>
      <w:r>
        <w:t xml:space="preserve">Guidance assumes IEEPA tariff rates that benefited Q1/Q2 revert to prior, higher levels by mid-year, creating a headwind in the back half that management says will roughly offset easier comps from inflation mitigation and pricing actions (full-year price assumed around 2.5%). Gross/operating margin trajectory — and whether tariff mitigation efforts are outperforming the "cautious" guidance — will be closely scrutinized.</w:t>
      </w:r>
    </w:p>
    <w:p>
      <w:pPr>
        <w:pStyle w:val="BodyText"/>
      </w:pPr>
      <w:r>
        <w:rPr>
          <w:b/>
          <w:bCs/>
        </w:rPr>
        <w:t xml:space="preserve">5. Capital deployment.</w:t>
      </w:r>
      <w:r>
        <w:t xml:space="preserve"> </w:t>
      </w:r>
      <w:r>
        <w:t xml:space="preserve">The company guided to ~$900 million of free cash flow and $825–875 million of share repurchases for 2026. Any change to these figures, or commentary on M&amp;A (acquisitions are contributing ~1.5% to growth in H1), will matter for the EPS bridge given MTD's buyback-heavy capital allocation model.</w:t>
      </w:r>
    </w:p>
    <w:bookmarkEnd w:id="12"/>
    <w:bookmarkStart w:id="13" w:name="sector-read-through"/>
    <w:p>
      <w:pPr>
        <w:pStyle w:val="Heading2"/>
      </w:pPr>
      <w:r>
        <w:t xml:space="preserve">Sector Read-Through</w:t>
      </w:r>
    </w:p>
    <w:p>
      <w:pPr>
        <w:pStyle w:val="FirstParagraph"/>
      </w:pPr>
      <w:r>
        <w:t xml:space="preserve">Peer results reported so far this earnings season have generally been constructive for life sciences tools:</w:t>
      </w:r>
    </w:p>
    <w:p>
      <w:pPr>
        <w:pStyle w:val="Compact"/>
        <w:numPr>
          <w:ilvl w:val="0"/>
          <w:numId w:val="1002"/>
        </w:numPr>
      </w:pPr>
      <w:r>
        <w:rPr>
          <w:b/>
          <w:bCs/>
        </w:rPr>
        <w:t xml:space="preserve">Danaher</w:t>
      </w:r>
      <w:r>
        <w:t xml:space="preserve"> </w:t>
      </w:r>
      <w:r>
        <w:t xml:space="preserve">posted Q2 core revenue growth of 3.0%, with Life Sciences up 5.5% (its strongest quarter in years) and management raising full-year adjusted EPS guidance to</w:t>
      </w:r>
      <w:r>
        <w:t xml:space="preserve"> </w:t>
      </w:r>
      <m:oMath>
        <m:r>
          <m:t>8.45</m:t>
        </m:r>
        <m:r>
          <m:rPr>
            <m:sty m:val="p"/>
          </m:rPr>
          <m:t>–</m:t>
        </m:r>
      </m:oMath>
      <w:r>
        <w:t xml:space="preserve">8.60.</w:t>
      </w:r>
    </w:p>
    <w:p>
      <w:pPr>
        <w:pStyle w:val="Compact"/>
        <w:numPr>
          <w:ilvl w:val="0"/>
          <w:numId w:val="1002"/>
        </w:numPr>
      </w:pPr>
      <w:r>
        <w:rPr>
          <w:b/>
          <w:bCs/>
        </w:rPr>
        <w:t xml:space="preserve">Agilent</w:t>
      </w:r>
      <w:r>
        <w:t xml:space="preserve"> </w:t>
      </w:r>
      <w:r>
        <w:t xml:space="preserve">delivered 6.3% core revenue growth in its fiscal Q2, raised full-year revenue and EPS guidance, and cited "healthy underlying demand" across end markets.</w:t>
      </w:r>
    </w:p>
    <w:p>
      <w:pPr>
        <w:pStyle w:val="Compact"/>
        <w:numPr>
          <w:ilvl w:val="0"/>
          <w:numId w:val="1002"/>
        </w:numPr>
      </w:pPr>
      <w:r>
        <w:t xml:space="preserve">Elsewhere in life sciences tools, Thermo Fisher delivered year-on-year revenue growth of 10.5%, beating analysts' expectations by 2.4%, while peer sentiment in the group has been broadly positive, with share prices up 4.4% on average over the last month and Mettler-Toledo up 10.5% during the same time.</w:t>
      </w:r>
    </w:p>
    <w:p>
      <w:pPr>
        <w:pStyle w:val="FirstParagraph"/>
      </w:pPr>
      <w:r>
        <w:t xml:space="preserve">This backdrop is somewhat encouraging for MTD's bioprocessing/pharma exposure, though MTD's own end-market mix (more core industrial/manufacturing and food than pure life-sciences peers) means the read-through is only partial.</w:t>
      </w:r>
    </w:p>
    <w:bookmarkEnd w:id="13"/>
    <w:bookmarkStart w:id="14" w:name="valuation-and-sentiment-check"/>
    <w:p>
      <w:pPr>
        <w:pStyle w:val="Heading2"/>
      </w:pPr>
      <w:r>
        <w:t xml:space="preserve">Valuation and Sentiment Check</w:t>
      </w:r>
    </w:p>
    <w:p>
      <w:pPr>
        <w:pStyle w:val="FirstParagraph"/>
      </w:pPr>
      <w:r>
        <w:t xml:space="preserve">Ahead of the print, MTD's average analyst price target sits around</w:t>
      </w:r>
      <w:r>
        <w:t xml:space="preserve"> </w:t>
      </w:r>
      <m:oMath>
        <m:r>
          <m:t>1</m:t>
        </m:r>
        <m:r>
          <m:rPr>
            <m:sty m:val="p"/>
          </m:rPr>
          <m:t>,</m:t>
        </m:r>
        <m:r>
          <m:t>335</m:t>
        </m:r>
        <m:r>
          <m:rPr>
            <m:sty m:val="p"/>
          </m:rPr>
          <m:t>–</m:t>
        </m:r>
      </m:oMath>
      <w:r>
        <w:t xml:space="preserve">1,408, with the consensus rating described as "cautiously optimistic," with an overall 'Moderate Buy' rating — out of 13 analysts, six rate it 'Strong Buy' and seven 'Hold'. Notably, sell-side price targets were cut sharply after the Q1 reaction — for example, Baird and JPMorgan both slashed targets to the</w:t>
      </w:r>
      <w:r>
        <w:t xml:space="preserve"> </w:t>
      </w:r>
      <m:oMath>
        <m:r>
          <m:t>1</m:t>
        </m:r>
        <m:r>
          <m:rPr>
            <m:sty m:val="p"/>
          </m:rPr>
          <m:t>,</m:t>
        </m:r>
        <m:r>
          <m:t>194</m:t>
        </m:r>
        <m:r>
          <m:rPr>
            <m:sty m:val="p"/>
          </m:rPr>
          <m:t>–</m:t>
        </m:r>
      </m:oMath>
      <w:r>
        <w:t xml:space="preserve">1,200 area in May — but the subsequent rally has pushed the stock back above most of those targets, suggesting the market has already priced in a fair amount of the H2 recovery narrative. That raises the bar for tomorrow's results: an in-line quarter with reiterated (not raised) full-year guidance could disappoint given how far shares have run since May.</w:t>
      </w:r>
    </w:p>
    <w:bookmarkEnd w:id="14"/>
    <w:bookmarkStart w:id="15" w:name="bottom-line-for-investors"/>
    <w:p>
      <w:pPr>
        <w:pStyle w:val="Heading2"/>
      </w:pPr>
      <w:r>
        <w:t xml:space="preserve">Bottom Line for Investors</w:t>
      </w:r>
    </w:p>
    <w:p>
      <w:pPr>
        <w:pStyle w:val="FirstParagraph"/>
      </w:pPr>
      <w:r>
        <w:t xml:space="preserve">The setup into this print is asymmetric in an interesting way: guidance is conservative and consensus sits within management's own range, but the stock has already rallied ~35% off its May low on hopes that H2 growth materializes. The key swing factors are (1) whether core industrial/lab order trends in the West are actually converting as management suggested they would, (2) whether China's industrial automation strength persists, and (3) how tariff/inflation dynamics net out for margins in the back half. A "beat-and-raise" quarter that shows tangible order conversion would likely be well received; an in-line quarter with continued cautious language on Western markets and tariffs could trigger profit-taking given the size of the recent run-up.</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2026-07-30T00:06:34Z</dcterms:created>
  <dcterms:modified xsi:type="dcterms:W3CDTF">2026-07-30T00:06:34Z</dcterms:modified>
</cp:coreProperties>
</file>

<file path=docProps/custom.xml><?xml version="1.0" encoding="utf-8"?>
<Properties xmlns="http://schemas.openxmlformats.org/officeDocument/2006/custom-properties" xmlns:vt="http://schemas.openxmlformats.org/officeDocument/2006/docPropsVTypes"/>
</file>