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4fcc591068288e09499d101618c8946ed7c7a3"/>
    <w:p>
      <w:pPr>
        <w:pStyle w:val="Heading1"/>
      </w:pPr>
      <w:r>
        <w:t xml:space="preserve">Mettler-Toledo (NYSE: MTD) — 2026 Q2 Earnings Preview</w:t>
      </w:r>
    </w:p>
    <w:p>
      <w:pPr>
        <w:pStyle w:val="FirstParagraph"/>
      </w:pPr>
      <w:r>
        <w:rPr>
          <w:b/>
          <w:bCs/>
        </w:rPr>
        <w:t xml:space="preserve">Event:</w:t>
      </w:r>
      <w:r>
        <w:t xml:space="preserve"> </w:t>
      </w:r>
      <w:r>
        <w:t xml:space="preserve">2026 Q2 earnings call —</w:t>
      </w:r>
      <w:r>
        <w:t xml:space="preserve"> </w:t>
      </w:r>
      <w:r>
        <w:rPr>
          <w:b/>
          <w:bCs/>
        </w:rPr>
        <w:t xml:space="preserve">Thursday, July 30, 2026</w:t>
      </w:r>
      <w:r>
        <w:br/>
      </w:r>
      <w:r>
        <w:rPr>
          <w:b/>
          <w:bCs/>
        </w:rPr>
        <w:t xml:space="preserve">Investment focus:</w:t>
      </w:r>
      <w:r>
        <w:t xml:space="preserve"> </w:t>
      </w:r>
      <w:r>
        <w:t xml:space="preserve">Whether improving China and bioprocessing demand, plus strong execution on price/productivity, can offset still-soft Western capital spending and support the expected second-half acceleration.</w:t>
      </w:r>
    </w:p>
    <w:bookmarkStart w:id="9" w:name="executive-take"/>
    <w:p>
      <w:pPr>
        <w:pStyle w:val="Heading2"/>
      </w:pPr>
      <w:r>
        <w:t xml:space="preserve">Executive take</w:t>
      </w:r>
    </w:p>
    <w:p>
      <w:pPr>
        <w:pStyle w:val="FirstParagraph"/>
      </w:pPr>
      <w:r>
        <w:t xml:space="preserve">MTD enters Q2 with a</w:t>
      </w:r>
      <w:r>
        <w:t xml:space="preserve"> </w:t>
      </w:r>
      <w:r>
        <w:rPr>
          <w:b/>
          <w:bCs/>
        </w:rPr>
        <w:t xml:space="preserve">low but important bar</w:t>
      </w:r>
      <w:r>
        <w:t xml:space="preserve">: management guided to roughly</w:t>
      </w:r>
      <w:r>
        <w:t xml:space="preserve"> </w:t>
      </w:r>
      <w:r>
        <w:rPr>
          <w:b/>
          <w:bCs/>
        </w:rPr>
        <w:t xml:space="preserve">3% local-currency sales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adjusted EPS of</w:t>
      </w:r>
      <w:r>
        <w:rPr>
          <w:b/>
          <w:bCs/>
        </w:rPr>
        <w:t xml:space="preserve"> </w:t>
      </w:r>
      <m:oMath>
        <m:r>
          <m:t>10.70</m:t>
        </m:r>
        <m:r>
          <m:rPr>
            <m:sty m:val="p"/>
          </m:rPr>
          <m:t>–</m:t>
        </m:r>
      </m:oMath>
      <w:r>
        <w:rPr>
          <w:b/>
          <w:bCs/>
        </w:rPr>
        <w:t xml:space="preserve">10.85</w:t>
      </w:r>
      <w:r>
        <w:t xml:space="preserve">. The central question is not simply whether it clears that quarterly outlook; it is whether management can preserve confidence in its</w:t>
      </w:r>
      <w:r>
        <w:t xml:space="preserve"> </w:t>
      </w:r>
      <w:r>
        <w:rPr>
          <w:b/>
          <w:bCs/>
        </w:rPr>
        <w:t xml:space="preserve">~4% full-year local-currency growth</w:t>
      </w:r>
      <w:r>
        <w:t xml:space="preserve"> </w:t>
      </w:r>
      <w:r>
        <w:t xml:space="preserve">and</w:t>
      </w:r>
      <w:r>
        <w:t xml:space="preserve"> </w:t>
      </w:r>
      <m:oMath>
        <m:r>
          <m:t>46.30</m:t>
        </m:r>
        <m:r>
          <m:rPr>
            <m:sty m:val="p"/>
          </m:rPr>
          <m:t>–</m:t>
        </m:r>
      </m:oMath>
      <w:r>
        <w:rPr>
          <w:b/>
          <w:bCs/>
        </w:rPr>
        <w:t xml:space="preserve">46.95 adjusted EPS</w:t>
      </w:r>
      <w:r>
        <w:t xml:space="preserve"> </w:t>
      </w:r>
      <w:r>
        <w:t xml:space="preserve">framework.</w:t>
      </w:r>
    </w:p>
    <w:p>
      <w:pPr>
        <w:pStyle w:val="BodyText"/>
      </w:pPr>
      <w:r>
        <w:t xml:space="preserve">The setup is balanced: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Constructive factors:</w:t>
      </w:r>
      <w:r>
        <w:t xml:space="preserve"> </w:t>
      </w:r>
      <w:r>
        <w:t xml:space="preserve">China Industrial momentum, solid product-inspection growth, resilient service revenue, healthy bioprocessing demand, and price/productivity initiatives that have supported earnings despite tariffs and inflation.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Risks:</w:t>
      </w:r>
      <w:r>
        <w:t xml:space="preserve"> </w:t>
      </w:r>
      <w:r>
        <w:t xml:space="preserve">Q1 organic growth was only 1%, customer purchase decisions were delayed in Western markets, Lab remained uneven, and chemical end markets—especially in Europe—were soft.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consequential variable:</w:t>
      </w:r>
      <w:r>
        <w:t xml:space="preserve"> </w:t>
      </w:r>
      <w:r>
        <w:t xml:space="preserve">Evidence that the company’s growing sales funnel is converting into Q2 orders and a tangible second-half demand step-up, rather than merely reflecting deferred customer projects.</w:t>
      </w:r>
    </w:p>
    <w:p>
      <w:pPr>
        <w:pStyle w:val="FirstParagraph"/>
      </w:pPr>
      <w:r>
        <w:t xml:space="preserve">The stock’s reaction to Q1 shows the market is sensitive to growth quality: MTD fell from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319.29</m:t>
        </m:r>
        <m:r>
          <m:t>o</m:t>
        </m:r>
        <m:r>
          <m:t>n</m:t>
        </m:r>
        <m:r>
          <m:t>M</m:t>
        </m:r>
        <m:r>
          <m:t>a</m:t>
        </m:r>
        <m:r>
          <m:t>y</m:t>
        </m:r>
        <m:r>
          <m:t>7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1,124.46 on May 8</w:t>
      </w:r>
      <w:r>
        <w:t xml:space="preserve"> </w:t>
      </w:r>
      <w:r>
        <w:t xml:space="preserve">after the Q1 release, before recovering to</w:t>
      </w:r>
      <w:r>
        <w:t xml:space="preserve"> </w:t>
      </w:r>
      <w:r>
        <w:rPr>
          <w:b/>
          <w:bCs/>
        </w:rPr>
        <w:t xml:space="preserve">$1,388.79 as of July 29</w:t>
      </w:r>
      <w:r>
        <w:t xml:space="preserve">. That leaves the shares roughly</w:t>
      </w:r>
      <w:r>
        <w:t xml:space="preserve"> </w:t>
      </w:r>
      <w:r>
        <w:rPr>
          <w:b/>
          <w:bCs/>
        </w:rPr>
        <w:t xml:space="preserve">35% above their May trough</w:t>
      </w:r>
      <w:r>
        <w:t xml:space="preserve"> </w:t>
      </w:r>
      <w:r>
        <w:t xml:space="preserve">and implies a relatively demanding setup heading into Q2.</w:t>
      </w:r>
    </w:p>
    <w:p>
      <w:r>
        <w:pict>
          <v:rect style="width:0;height:1.5pt" o:hralign="center" o:hrstd="t" o:hr="t"/>
        </w:pict>
      </w:r>
    </w:p>
    <w:bookmarkEnd w:id="9"/>
    <w:bookmarkStart w:id="10" w:name="the-numbers-that-matter"/>
    <w:p>
      <w:pPr>
        <w:pStyle w:val="Heading2"/>
      </w:pPr>
      <w:r>
        <w:t xml:space="preserve">The numbers that matter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management outlook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</w:pPr>
            <w:r>
              <w:t xml:space="preserve">Investor implication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Local-currency sales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2%</w:t>
            </w:r>
          </w:p>
        </w:tc>
        <w:tc>
          <w:tcPr/>
          <w:p>
            <w:pPr>
              <w:pStyle w:val="Compact"/>
            </w:pPr>
            <w:r>
              <w:t xml:space="preserve">A modest acceleration is expected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Acquisition contribution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~1.5 pts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N/A</w:t>
            </w:r>
          </w:p>
        </w:tc>
        <w:tc>
          <w:tcPr/>
          <w:p>
            <w:pPr>
              <w:pStyle w:val="Compact"/>
            </w:pPr>
            <w:r>
              <w:t xml:space="preserve">Implies only ~1.5% organic growth at the midpoint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10.70</m:t>
              </m:r>
              <m:r>
                <m:rPr>
                  <m:sty m:val="p"/>
                </m:rPr>
                <m:t>–</m:t>
              </m:r>
            </m:oMath>
            <w:r>
              <w:t xml:space="preserve">10.85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$10.09</w:t>
            </w:r>
          </w:p>
        </w:tc>
        <w:tc>
          <w:tcPr/>
          <w:p>
            <w:pPr>
              <w:pStyle w:val="Compact"/>
            </w:pPr>
            <w:r>
              <w:t xml:space="preserve">Implies ~6%–8% growth; midpoint is ~6.8%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LC sales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Requires a meaningful H2 improvement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46.30</m:t>
              </m:r>
              <m:r>
                <m:rPr>
                  <m:sty m:val="p"/>
                </m:rPr>
                <m:t>–</m:t>
              </m:r>
            </m:oMath>
            <w:r>
              <w:t xml:space="preserve">46.95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$42.38 in 2025</w:t>
            </w:r>
          </w:p>
        </w:tc>
        <w:tc>
          <w:tcPr/>
          <w:p>
            <w:pPr>
              <w:pStyle w:val="Compact"/>
            </w:pPr>
            <w:r>
              <w:t xml:space="preserve">Management retained the growth plan despite a cautious Q2 setup</w:t>
            </w:r>
          </w:p>
        </w:tc>
      </w:tr>
    </w:tbl>
    <w:p>
      <w:pPr>
        <w:pStyle w:val="BodyText"/>
      </w:pPr>
      <w:r>
        <w:t xml:space="preserve">At the midpoint of guidance, Q2 adjusted EPS would be</w:t>
      </w:r>
      <w:r>
        <w:t xml:space="preserve"> </w:t>
      </w:r>
      <m:oMath>
        <m:r>
          <m:t>10.775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6.8</m:t>
        </m:r>
      </m:oMath>
      <w:r>
        <w:rPr>
          <w:b/>
          <w:bCs/>
        </w:rPr>
        <w:t xml:space="preserve">1.03 billion</w:t>
      </w:r>
      <w:r>
        <w:t xml:space="preserve">, though currency and acquisition timing can move that figure.</w:t>
      </w:r>
    </w:p>
    <w:p>
      <w:r>
        <w:pict>
          <v:rect style="width:0;height:1.5pt" o:hralign="center" o:hrstd="t" o:hr="t"/>
        </w:pict>
      </w:r>
    </w:p>
    <w:bookmarkEnd w:id="10"/>
    <w:bookmarkStart w:id="16" w:name="what-investors-should-watch"/>
    <w:p>
      <w:pPr>
        <w:pStyle w:val="Heading2"/>
      </w:pPr>
      <w:r>
        <w:t xml:space="preserve">What investors should watch</w:t>
      </w:r>
    </w:p>
    <w:bookmarkStart w:id="11" w:name="Xc7fdffc9634dbef4595bde0794dd1cee721657a"/>
    <w:p>
      <w:pPr>
        <w:pStyle w:val="Heading3"/>
      </w:pPr>
      <w:r>
        <w:t xml:space="preserve">1. Organic growth versus acquisitions</w:t>
      </w:r>
    </w:p>
    <w:p>
      <w:pPr>
        <w:pStyle w:val="FirstParagraph"/>
      </w:pPr>
      <w:r>
        <w:t xml:space="preserve">The Q2 sales guide is 3% in local currency, but acquisitions account for approximately 1.5 points. Therefore, the true test is whether MTD can deliver</w:t>
      </w:r>
      <w:r>
        <w:t xml:space="preserve"> </w:t>
      </w:r>
      <w:r>
        <w:rPr>
          <w:b/>
          <w:bCs/>
        </w:rPr>
        <w:t xml:space="preserve">at least modest organic growth</w:t>
      </w:r>
      <w:r>
        <w:t xml:space="preserve"> </w:t>
      </w:r>
      <w:r>
        <w:t xml:space="preserve">and ideally improve from Q1’s 1% organic growth.</w:t>
      </w:r>
    </w:p>
    <w:p>
      <w:pPr>
        <w:pStyle w:val="BodyText"/>
      </w:pPr>
      <w:r>
        <w:t xml:space="preserve">In Q1, reported local-currency sales grew 3%, but acquisitions contributed about 1.5 points. The weak underlying result reflected delayed purchases and soft demand in parts of Lab and core Industrial. A Q2 result merely in line with 3% growth but driven largely by M&amp;A would likely not fully reassure investors.</w:t>
      </w:r>
    </w:p>
    <w:p>
      <w:pPr>
        <w:pStyle w:val="BodyText"/>
      </w:pPr>
      <w:r>
        <w:rPr>
          <w:b/>
          <w:bCs/>
        </w:rPr>
        <w:t xml:space="preserve">What would be encouraging</w:t>
      </w:r>
    </w:p>
    <w:p>
      <w:pPr>
        <w:pStyle w:val="Compact"/>
        <w:numPr>
          <w:ilvl w:val="0"/>
          <w:numId w:val="1002"/>
        </w:numPr>
      </w:pPr>
      <w:r>
        <w:t xml:space="preserve">Organic growth clearly above 1.5%.</w:t>
      </w:r>
    </w:p>
    <w:p>
      <w:pPr>
        <w:pStyle w:val="Compact"/>
        <w:numPr>
          <w:ilvl w:val="0"/>
          <w:numId w:val="1002"/>
        </w:numPr>
      </w:pPr>
      <w:r>
        <w:t xml:space="preserve">Better conversion of customer opportunities into orders.</w:t>
      </w:r>
    </w:p>
    <w:p>
      <w:pPr>
        <w:pStyle w:val="Compact"/>
        <w:numPr>
          <w:ilvl w:val="0"/>
          <w:numId w:val="1002"/>
        </w:numPr>
      </w:pPr>
      <w:r>
        <w:t xml:space="preserve">Reduced evidence of project deferrals in the U.S. and Europe.</w:t>
      </w:r>
    </w:p>
    <w:p>
      <w:pPr>
        <w:pStyle w:val="FirstParagraph"/>
      </w:pPr>
      <w:r>
        <w:rPr>
          <w:b/>
          <w:bCs/>
        </w:rPr>
        <w:t xml:space="preserve">What would concern investors</w:t>
      </w:r>
    </w:p>
    <w:p>
      <w:pPr>
        <w:pStyle w:val="Compact"/>
        <w:numPr>
          <w:ilvl w:val="0"/>
          <w:numId w:val="1003"/>
        </w:numPr>
      </w:pPr>
      <w:r>
        <w:t xml:space="preserve">Organic growth remaining around Q1’s 1% level.</w:t>
      </w:r>
    </w:p>
    <w:p>
      <w:pPr>
        <w:pStyle w:val="Compact"/>
        <w:numPr>
          <w:ilvl w:val="0"/>
          <w:numId w:val="1003"/>
        </w:numPr>
      </w:pPr>
      <w:r>
        <w:t xml:space="preserve">Another reliance on price and acquisitions to reach the top-line guide.</w:t>
      </w:r>
    </w:p>
    <w:p>
      <w:pPr>
        <w:pStyle w:val="Compact"/>
        <w:numPr>
          <w:ilvl w:val="0"/>
          <w:numId w:val="1003"/>
        </w:numPr>
      </w:pPr>
      <w:r>
        <w:t xml:space="preserve">A weaker outlook for H2 conversion despite management’s favorable pipeline commentary.</w:t>
      </w:r>
    </w:p>
    <w:bookmarkEnd w:id="11"/>
    <w:bookmarkStart w:id="12" w:name="X695b0ba4fc0ae6f0cf0d15226213337caf76131"/>
    <w:p>
      <w:pPr>
        <w:pStyle w:val="Heading3"/>
      </w:pPr>
      <w:r>
        <w:t xml:space="preserve">2. China: Is the recovery becoming durable?</w:t>
      </w:r>
    </w:p>
    <w:p>
      <w:pPr>
        <w:pStyle w:val="FirstParagraph"/>
      </w:pPr>
      <w:r>
        <w:t xml:space="preserve">China was a clear Q1 bright spot, growing</w:t>
      </w:r>
      <w:r>
        <w:t xml:space="preserve"> </w:t>
      </w:r>
      <w:r>
        <w:rPr>
          <w:b/>
          <w:bCs/>
        </w:rPr>
        <w:t xml:space="preserve">4%</w:t>
      </w:r>
      <w:r>
        <w:t xml:space="preserve">, with Industrial up at a high-single-digit rate. Management has highlighted three consecutive quarters of improving Chinese growth, driven by industrial automation, pharma-related replacement activity, batteries, clean energy, semiconductors, and other local investment pockets.</w:t>
      </w:r>
    </w:p>
    <w:p>
      <w:pPr>
        <w:pStyle w:val="BodyText"/>
      </w:pPr>
      <w:r>
        <w:t xml:space="preserve">This matters because China is a potential swing factor to the full-year plan. Management raised its full-year China expectation to mid-single-digit growth after Q1 and suggested there could be more upside than downside if momentum continues.</w:t>
      </w:r>
    </w:p>
    <w:p>
      <w:pPr>
        <w:pStyle w:val="BodyText"/>
      </w:pPr>
      <w:r>
        <w:rPr>
          <w:b/>
          <w:bCs/>
        </w:rPr>
        <w:t xml:space="preserve">Key call questions</w:t>
      </w:r>
    </w:p>
    <w:p>
      <w:pPr>
        <w:pStyle w:val="Compact"/>
        <w:numPr>
          <w:ilvl w:val="0"/>
          <w:numId w:val="1004"/>
        </w:numPr>
      </w:pPr>
      <w:r>
        <w:t xml:space="preserve">Did China sustain or improve on Q1’s 4% growth?</w:t>
      </w:r>
    </w:p>
    <w:p>
      <w:pPr>
        <w:pStyle w:val="Compact"/>
        <w:numPr>
          <w:ilvl w:val="0"/>
          <w:numId w:val="1004"/>
        </w:numPr>
      </w:pPr>
      <w:r>
        <w:t xml:space="preserve">Is Industrial still leading, and is Lab beginning to participate?</w:t>
      </w:r>
    </w:p>
    <w:p>
      <w:pPr>
        <w:pStyle w:val="Compact"/>
        <w:numPr>
          <w:ilvl w:val="0"/>
          <w:numId w:val="1004"/>
        </w:numPr>
      </w:pPr>
      <w:r>
        <w:t xml:space="preserve">Are pharma/bioprocessing, semiconductor, battery, and automation investments translating from funnel activity to orders?</w:t>
      </w:r>
    </w:p>
    <w:p>
      <w:pPr>
        <w:pStyle w:val="Compact"/>
        <w:numPr>
          <w:ilvl w:val="0"/>
          <w:numId w:val="1004"/>
        </w:numPr>
      </w:pPr>
      <w:r>
        <w:t xml:space="preserve">Is local competition affecting price, share, or margins?</w:t>
      </w:r>
    </w:p>
    <w:bookmarkEnd w:id="12"/>
    <w:bookmarkStart w:id="13" w:name="Xd6423215db5387cb750150df3c4e7716d3c3157"/>
    <w:p>
      <w:pPr>
        <w:pStyle w:val="Heading3"/>
      </w:pPr>
      <w:r>
        <w:t xml:space="preserve">3. Lab: Bioprocessing strength versus academic and chemical softness</w:t>
      </w:r>
    </w:p>
    <w:p>
      <w:pPr>
        <w:pStyle w:val="FirstParagraph"/>
      </w:pPr>
      <w:r>
        <w:t xml:space="preserve">Lab was the soft spot in Q1: local-currency growth was 1%, or flat excluding acquisitions. Bioprocessing was strong, but pipettes were pressured by weaker academic and biotech demand, while chemical-related demand—particularly in Europe—was delayed.</w:t>
      </w:r>
    </w:p>
    <w:p>
      <w:pPr>
        <w:pStyle w:val="BodyText"/>
      </w:pPr>
      <w:r>
        <w:t xml:space="preserve">The Q2 outlook assumes low-to-mid-single-digit Lab growth, although management framed the organic outlook as closer to low-single-digit growth. The market will want proof that Lab is stabilizing.</w:t>
      </w:r>
    </w:p>
    <w:p>
      <w:pPr>
        <w:pStyle w:val="BodyText"/>
      </w:pPr>
      <w:r>
        <w:rPr>
          <w:b/>
          <w:bCs/>
        </w:rPr>
        <w:t xml:space="preserve">Positive indicators</w:t>
      </w:r>
    </w:p>
    <w:p>
      <w:pPr>
        <w:pStyle w:val="Compact"/>
        <w:numPr>
          <w:ilvl w:val="0"/>
          <w:numId w:val="1005"/>
        </w:numPr>
      </w:pPr>
      <w:r>
        <w:t xml:space="preserve">Continued bioprocessing momentum, particularly in sensors, single-use workflows, and downstream applications.</w:t>
      </w:r>
    </w:p>
    <w:p>
      <w:pPr>
        <w:pStyle w:val="Compact"/>
        <w:numPr>
          <w:ilvl w:val="0"/>
          <w:numId w:val="1005"/>
        </w:numPr>
      </w:pPr>
      <w:r>
        <w:t xml:space="preserve">Better European Lab demand.</w:t>
      </w:r>
    </w:p>
    <w:p>
      <w:pPr>
        <w:pStyle w:val="Compact"/>
        <w:numPr>
          <w:ilvl w:val="0"/>
          <w:numId w:val="1005"/>
        </w:numPr>
      </w:pPr>
      <w:r>
        <w:t xml:space="preserve">A recovery from Q1 weakness in pipettes and automated chemistry.</w:t>
      </w:r>
    </w:p>
    <w:p>
      <w:pPr>
        <w:pStyle w:val="FirstParagraph"/>
      </w:pPr>
      <w:r>
        <w:rPr>
          <w:b/>
          <w:bCs/>
        </w:rPr>
        <w:t xml:space="preserve">Risk indicators</w:t>
      </w:r>
    </w:p>
    <w:p>
      <w:pPr>
        <w:pStyle w:val="Compact"/>
        <w:numPr>
          <w:ilvl w:val="0"/>
          <w:numId w:val="1006"/>
        </w:numPr>
      </w:pPr>
      <w:r>
        <w:t xml:space="preserve">Academic demand remains negative.</w:t>
      </w:r>
    </w:p>
    <w:p>
      <w:pPr>
        <w:pStyle w:val="Compact"/>
        <w:numPr>
          <w:ilvl w:val="0"/>
          <w:numId w:val="1006"/>
        </w:numPr>
      </w:pPr>
      <w:r>
        <w:t xml:space="preserve">Chemical customers continue postponing investment.</w:t>
      </w:r>
    </w:p>
    <w:p>
      <w:pPr>
        <w:pStyle w:val="Compact"/>
        <w:numPr>
          <w:ilvl w:val="0"/>
          <w:numId w:val="1006"/>
        </w:numPr>
      </w:pPr>
      <w:r>
        <w:t xml:space="preserve">Bioprocessing remains healthy but is not sufficient to offset broader Lab weakness.</w:t>
      </w:r>
    </w:p>
    <w:bookmarkEnd w:id="13"/>
    <w:bookmarkStart w:id="14" w:name="Xafacc504c28029e98049f40abfca1e8288e4e05"/>
    <w:p>
      <w:pPr>
        <w:pStyle w:val="Heading3"/>
      </w:pPr>
      <w:r>
        <w:t xml:space="preserve">4. Core Industrial and Product Inspection</w:t>
      </w:r>
    </w:p>
    <w:p>
      <w:pPr>
        <w:pStyle w:val="FirstParagraph"/>
      </w:pPr>
      <w:r>
        <w:t xml:space="preserve">Core Industrial is the principal engine of management’s anticipated second-half acceleration, particularly through automation and digitalization investments. MTD sees favorable opportunities in automated manufacturing, process control, onshoring, and system-integrator channels, but it also acknowledged broad customer caution in Western Industrial markets.</w:t>
      </w:r>
    </w:p>
    <w:p>
      <w:pPr>
        <w:pStyle w:val="BodyText"/>
      </w:pPr>
      <w:r>
        <w:t xml:space="preserve">Product Inspection remains the cleaner growth story. Q1 growth was strong, supported by recent X-ray and metal-detection product launches and expansion into the mid-market. Investors should look for continued share gains and whether this business can sustain mid-single-digit growth.</w:t>
      </w:r>
    </w:p>
    <w:p>
      <w:pPr>
        <w:pStyle w:val="BodyText"/>
      </w:pPr>
      <w:r>
        <w:rPr>
          <w:b/>
          <w:bCs/>
        </w:rPr>
        <w:t xml:space="preserve">Watch for</w:t>
      </w:r>
    </w:p>
    <w:p>
      <w:pPr>
        <w:pStyle w:val="Compact"/>
        <w:numPr>
          <w:ilvl w:val="0"/>
          <w:numId w:val="1007"/>
        </w:numPr>
      </w:pPr>
      <w:r>
        <w:t xml:space="preserve">Core Industrial improvement in China and Europe.</w:t>
      </w:r>
    </w:p>
    <w:p>
      <w:pPr>
        <w:pStyle w:val="Compact"/>
        <w:numPr>
          <w:ilvl w:val="0"/>
          <w:numId w:val="1007"/>
        </w:numPr>
      </w:pPr>
      <w:r>
        <w:t xml:space="preserve">The extent of U.S. project delays or recovery.</w:t>
      </w:r>
    </w:p>
    <w:p>
      <w:pPr>
        <w:pStyle w:val="Compact"/>
        <w:numPr>
          <w:ilvl w:val="0"/>
          <w:numId w:val="1007"/>
        </w:numPr>
      </w:pPr>
      <w:r>
        <w:t xml:space="preserve">Product Inspection growth and margin contribution.</w:t>
      </w:r>
    </w:p>
    <w:p>
      <w:pPr>
        <w:pStyle w:val="Compact"/>
        <w:numPr>
          <w:ilvl w:val="0"/>
          <w:numId w:val="1007"/>
        </w:numPr>
      </w:pPr>
      <w:r>
        <w:t xml:space="preserve">Evidence that automation demand is translating into orders rather than just pipeline activity.</w:t>
      </w:r>
    </w:p>
    <w:bookmarkEnd w:id="14"/>
    <w:bookmarkStart w:id="15" w:name="X49853e28d59632eb2a522785f255afce38b0887"/>
    <w:p>
      <w:pPr>
        <w:pStyle w:val="Heading3"/>
      </w:pPr>
      <w:r>
        <w:t xml:space="preserve">5. Margin execution, tariffs, pricing, and EPS quality</w:t>
      </w:r>
    </w:p>
    <w:p>
      <w:pPr>
        <w:pStyle w:val="FirstParagraph"/>
      </w:pPr>
      <w:r>
        <w:t xml:space="preserve">Q1 showed MTD’s earnings resilience: adjusted EPS grew 9% despite only 3% local-currency sales growth. However, gross margin declined 80 basis points as reported, and incremental tariffs created a 90-basis-point gross-margin headwind. Management estimated tariffs reduced Q1 operating profit by 4%.</w:t>
      </w:r>
    </w:p>
    <w:p>
      <w:pPr>
        <w:pStyle w:val="BodyText"/>
      </w:pPr>
      <w:r>
        <w:t xml:space="preserve">For Q2 and H2, management has pointed to a temporary benefit from lower tariff rates, broadly offset by inflationary pressure tied to energy, freight, and other inputs. It intentionally took a conservative view of mitigation in guidance.</w:t>
      </w:r>
    </w:p>
    <w:p>
      <w:pPr>
        <w:pStyle w:val="BodyText"/>
      </w:pPr>
      <w:r>
        <w:t xml:space="preserve">This creates upside potential if price realization, productivity, supply-chain actions, and cost programs outperform.</w:t>
      </w:r>
    </w:p>
    <w:p>
      <w:pPr>
        <w:pStyle w:val="BodyText"/>
      </w:pPr>
      <w:r>
        <w:rPr>
          <w:b/>
          <w:bCs/>
        </w:rPr>
        <w:t xml:space="preserve">What matters</w:t>
      </w:r>
    </w:p>
    <w:p>
      <w:pPr>
        <w:pStyle w:val="Compact"/>
        <w:numPr>
          <w:ilvl w:val="0"/>
          <w:numId w:val="1008"/>
        </w:numPr>
      </w:pPr>
      <w:r>
        <w:t xml:space="preserve">Gross-margin and adjusted-operating-margin trajectory.</w:t>
      </w:r>
    </w:p>
    <w:p>
      <w:pPr>
        <w:pStyle w:val="Compact"/>
        <w:numPr>
          <w:ilvl w:val="0"/>
          <w:numId w:val="1008"/>
        </w:numPr>
      </w:pPr>
      <w:r>
        <w:t xml:space="preserve">Incremental pricing versus the expected ~2.5% Q2 price contribution.</w:t>
      </w:r>
    </w:p>
    <w:p>
      <w:pPr>
        <w:pStyle w:val="Compact"/>
        <w:numPr>
          <w:ilvl w:val="0"/>
          <w:numId w:val="1008"/>
        </w:numPr>
      </w:pPr>
      <w:r>
        <w:t xml:space="preserve">Whether tariff/inflation mitigation produces upside to the full-year EPS outlook.</w:t>
      </w:r>
    </w:p>
    <w:p>
      <w:pPr>
        <w:pStyle w:val="Compact"/>
        <w:numPr>
          <w:ilvl w:val="0"/>
          <w:numId w:val="1008"/>
        </w:numPr>
      </w:pPr>
      <w:r>
        <w:t xml:space="preserve">The level of restructuring expense and whether additional actions are needed.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X23c742e443bf282fe31707802527d94697aad4a"/>
    <w:p>
      <w:pPr>
        <w:pStyle w:val="Heading2"/>
      </w:pPr>
      <w:r>
        <w:t xml:space="preserve">Full-year guide: the real share-price catalyst</w:t>
      </w:r>
    </w:p>
    <w:p>
      <w:pPr>
        <w:pStyle w:val="FirstParagraph"/>
      </w:pPr>
      <w:r>
        <w:t xml:space="preserve">MTD maintained its 2026 outlook after Q1, including: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~4% local-currency sales growth</w:t>
      </w:r>
    </w:p>
    <w:p>
      <w:pPr>
        <w:pStyle w:val="Compact"/>
        <w:numPr>
          <w:ilvl w:val="0"/>
          <w:numId w:val="1009"/>
        </w:numPr>
      </w:pPr>
      <m:oMath>
        <m:r>
          <m:t>46.30</m:t>
        </m:r>
        <m:r>
          <m:rPr>
            <m:sty m:val="p"/>
          </m:rPr>
          <m:t>–</m:t>
        </m:r>
      </m:oMath>
      <w:r>
        <w:rPr>
          <w:b/>
          <w:bCs/>
        </w:rPr>
        <w:t xml:space="preserve">46.95 adjusted EPS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~$900 million adjusted free cash flow</w:t>
      </w:r>
    </w:p>
    <w:p>
      <w:pPr>
        <w:pStyle w:val="Compact"/>
        <w:numPr>
          <w:ilvl w:val="0"/>
          <w:numId w:val="1009"/>
        </w:numPr>
      </w:pPr>
      <m:oMath>
        <m:r>
          <m:t>825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875 million of share repurchases</w:t>
      </w:r>
    </w:p>
    <w:p>
      <w:pPr>
        <w:pStyle w:val="FirstParagraph"/>
      </w:pPr>
      <w:r>
        <w:t xml:space="preserve">The Q2 report must reinforce the bridge from a cautious first half to a better second half. Management’s stated basis for that improvement is a stronger sales funnel, improving conversion rates, better China momentum, bioprocessing, continued product-inspection strength, and more favorable comparisons later in the year.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/>
          <w:bCs/>
        </w:rPr>
        <w:t xml:space="preserve">reaffirmation with credible demand commentary</w:t>
      </w:r>
      <w:r>
        <w:t xml:space="preserve"> </w:t>
      </w:r>
      <w:r>
        <w:t xml:space="preserve">may be enough for a positive response. A guide increase would be more powerful, but management has been deliberately cautious given tariffs, inflation, geopolitical uncertainty, and customer capital-spending delays.</w:t>
      </w:r>
    </w:p>
    <w:p>
      <w:r>
        <w:pict>
          <v:rect style="width:0;height:1.5pt" o:hralign="center" o:hrstd="t" o:hr="t"/>
        </w:pict>
      </w:r>
    </w:p>
    <w:bookmarkEnd w:id="17"/>
    <w:bookmarkStart w:id="18" w:name="valuation-and-positioning"/>
    <w:p>
      <w:pPr>
        <w:pStyle w:val="Heading2"/>
      </w:pPr>
      <w:r>
        <w:t xml:space="preserve">Valuation and positioning</w:t>
      </w:r>
    </w:p>
    <w:p>
      <w:pPr>
        <w:pStyle w:val="FirstParagraph"/>
      </w:pPr>
      <w:r>
        <w:t xml:space="preserve">At</w:t>
      </w:r>
      <w:r>
        <w:t xml:space="preserve"> </w:t>
      </w:r>
      <w:r>
        <w:rPr>
          <w:b/>
          <w:bCs/>
        </w:rPr>
        <w:t xml:space="preserve">$1,388.79 on July 29</w:t>
      </w:r>
      <w:r>
        <w:t xml:space="preserve">, MTD traded at roughly</w:t>
      </w:r>
      <w:r>
        <w:t xml:space="preserve"> </w:t>
      </w:r>
      <w:r>
        <w:rPr>
          <w:b/>
          <w:bCs/>
        </w:rPr>
        <w:t xml:space="preserve">29.8x</w:t>
      </w:r>
      <w:r>
        <w:t xml:space="preserve"> </w:t>
      </w:r>
      <w:r>
        <w:t xml:space="preserve">the midpoint of its 2026 adjusted-EPS guidance. That is a premium multiple for a company expected to grow adjusted EPS by high single digits, so investors are likely paying for the durability of its franchise, execution model, pricing power, service opportunity, and eventual automation/onshoring tailwinds—not just near-term revenue growth.</w:t>
      </w:r>
    </w:p>
    <w:p>
      <w:pPr>
        <w:pStyle w:val="BodyText"/>
      </w:pPr>
      <w:r>
        <w:t xml:space="preserve">The stock is also about</w:t>
      </w:r>
      <w:r>
        <w:t xml:space="preserve"> </w:t>
      </w:r>
      <w:r>
        <w:rPr>
          <w:b/>
          <w:bCs/>
        </w:rPr>
        <w:t xml:space="preserve">9.7% above</w:t>
      </w:r>
      <w:r>
        <w:t xml:space="preserve"> </w:t>
      </w:r>
      <w:r>
        <w:t xml:space="preserve">its level one year earlier, but its more relevant near-term context is the sharp recovery from the May post-earnings drawdown.</w:t>
      </w:r>
    </w:p>
    <w:p>
      <w:r>
        <w:pict>
          <v:rect style="width:0;height:1.5pt" o:hralign="center" o:hrstd="t" o:hr="t"/>
        </w:pict>
      </w:r>
    </w:p>
    <w:bookmarkEnd w:id="18"/>
    <w:bookmarkStart w:id="22" w:name="scenario-framework"/>
    <w:p>
      <w:pPr>
        <w:pStyle w:val="Heading2"/>
      </w:pPr>
      <w:r>
        <w:t xml:space="preserve">Scenario framework</w:t>
      </w:r>
    </w:p>
    <w:bookmarkStart w:id="19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0"/>
        </w:numPr>
      </w:pPr>
      <w:r>
        <w:t xml:space="preserve">Local-currency growth exceeds 3%, with organic growth materially better than 1.5%.</w:t>
      </w:r>
    </w:p>
    <w:p>
      <w:pPr>
        <w:pStyle w:val="Compact"/>
        <w:numPr>
          <w:ilvl w:val="0"/>
          <w:numId w:val="1010"/>
        </w:numPr>
      </w:pPr>
      <w:r>
        <w:t xml:space="preserve">China remains mid-to-high-single-digit growth, with expanding Lab participation.</w:t>
      </w:r>
    </w:p>
    <w:p>
      <w:pPr>
        <w:pStyle w:val="Compact"/>
        <w:numPr>
          <w:ilvl w:val="0"/>
          <w:numId w:val="1010"/>
        </w:numPr>
      </w:pPr>
      <w:r>
        <w:t xml:space="preserve">Lab stabilizes and bioprocessing remains strong.</w:t>
      </w:r>
    </w:p>
    <w:p>
      <w:pPr>
        <w:pStyle w:val="Compact"/>
        <w:numPr>
          <w:ilvl w:val="0"/>
          <w:numId w:val="1010"/>
        </w:numPr>
      </w:pPr>
      <w:r>
        <w:t xml:space="preserve">Product Inspection sustains share gains.</w:t>
      </w:r>
    </w:p>
    <w:p>
      <w:pPr>
        <w:pStyle w:val="Compact"/>
        <w:numPr>
          <w:ilvl w:val="0"/>
          <w:numId w:val="1010"/>
        </w:numPr>
      </w:pPr>
      <w:r>
        <w:t xml:space="preserve">Price/cost/tariff mitigation enables margin upside.</w:t>
      </w:r>
    </w:p>
    <w:p>
      <w:pPr>
        <w:pStyle w:val="Compact"/>
        <w:numPr>
          <w:ilvl w:val="0"/>
          <w:numId w:val="1010"/>
        </w:numPr>
      </w:pPr>
      <w:r>
        <w:t xml:space="preserve">Management reaffirms or lifts full-year EPS guidance while strengthening the second-half growth narrative.</w:t>
      </w:r>
    </w:p>
    <w:bookmarkEnd w:id="19"/>
    <w:bookmarkStart w:id="20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1"/>
        </w:numPr>
      </w:pPr>
      <w:r>
        <w:t xml:space="preserve">Sales growth and adjusted EPS land near the guided midpoints.</w:t>
      </w:r>
    </w:p>
    <w:p>
      <w:pPr>
        <w:pStyle w:val="Compact"/>
        <w:numPr>
          <w:ilvl w:val="0"/>
          <w:numId w:val="1011"/>
        </w:numPr>
      </w:pPr>
      <w:r>
        <w:t xml:space="preserve">China, Product Inspection, and service remain healthy.</w:t>
      </w:r>
    </w:p>
    <w:p>
      <w:pPr>
        <w:pStyle w:val="Compact"/>
        <w:numPr>
          <w:ilvl w:val="0"/>
          <w:numId w:val="1011"/>
        </w:numPr>
      </w:pPr>
      <w:r>
        <w:t xml:space="preserve">Western Lab and Industrial conditions remain mixed but do not worsen.</w:t>
      </w:r>
    </w:p>
    <w:p>
      <w:pPr>
        <w:pStyle w:val="Compact"/>
        <w:numPr>
          <w:ilvl w:val="0"/>
          <w:numId w:val="1011"/>
        </w:numPr>
      </w:pPr>
      <w:r>
        <w:t xml:space="preserve">Full-year guidance is maintained, with management continuing to point to a second-half step-up.</w:t>
      </w:r>
    </w:p>
    <w:bookmarkEnd w:id="20"/>
    <w:bookmarkStart w:id="21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2"/>
        </w:numPr>
      </w:pPr>
      <w:r>
        <w:t xml:space="preserve">Organic growth remains near Q1 levels as U.S. and European customers continue to delay spending.</w:t>
      </w:r>
    </w:p>
    <w:p>
      <w:pPr>
        <w:pStyle w:val="Compact"/>
        <w:numPr>
          <w:ilvl w:val="0"/>
          <w:numId w:val="1012"/>
        </w:numPr>
      </w:pPr>
      <w:r>
        <w:t xml:space="preserve">China decelerates or its strength remains limited to a narrow portion of Industrial.</w:t>
      </w:r>
    </w:p>
    <w:p>
      <w:pPr>
        <w:pStyle w:val="Compact"/>
        <w:numPr>
          <w:ilvl w:val="0"/>
          <w:numId w:val="1012"/>
        </w:numPr>
      </w:pPr>
      <w:r>
        <w:t xml:space="preserve">Chemical and academic/biotech demand deteriorate further.</w:t>
      </w:r>
    </w:p>
    <w:p>
      <w:pPr>
        <w:pStyle w:val="Compact"/>
        <w:numPr>
          <w:ilvl w:val="0"/>
          <w:numId w:val="1012"/>
        </w:numPr>
      </w:pPr>
      <w:r>
        <w:t xml:space="preserve">Tariff and inflation pressures outweigh mitigation actions.</w:t>
      </w:r>
    </w:p>
    <w:p>
      <w:pPr>
        <w:pStyle w:val="Compact"/>
        <w:numPr>
          <w:ilvl w:val="0"/>
          <w:numId w:val="1012"/>
        </w:numPr>
      </w:pPr>
      <w:r>
        <w:t xml:space="preserve">Full-year guidance is cut or H2 confidence weakens.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MTD does not need a dramatic Q2 beat to work, but it needs to</w:t>
      </w:r>
      <w:r>
        <w:t xml:space="preserve"> </w:t>
      </w:r>
      <w:r>
        <w:rPr>
          <w:b/>
          <w:bCs/>
        </w:rPr>
        <w:t xml:space="preserve">validate the path to stronger second-half organic growth</w:t>
      </w:r>
      <w:r>
        <w:t xml:space="preserve">. The highest-value signals will be:</w:t>
      </w:r>
      <w:r>
        <w:t xml:space="preserve"> </w:t>
      </w:r>
      <w:r>
        <w:rPr>
          <w:b/>
          <w:bCs/>
        </w:rPr>
        <w:t xml:space="preserve">China durability, Lab stabilization, conversion of the stronger funnel, and margin resilience after tariffs/inflation</w:t>
      </w:r>
      <w:r>
        <w:t xml:space="preserve">.</w:t>
      </w:r>
    </w:p>
    <w:p>
      <w:pPr>
        <w:pStyle w:val="BodyText"/>
      </w:pPr>
      <w:r>
        <w:t xml:space="preserve">A modest Q2 beat paired with a confident full-year reaffirmation could support the shares. Conversely, an in-line print accompanied by weaker organic growth, continued Western-market delays, or reduced conviction in the H2 inflection would be difficult to absorb given the stock’s recovery and premium earnings multiple.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2026-07-29T20:02:13Z</dcterms:created>
  <dcterms:modified xsi:type="dcterms:W3CDTF">2026-07-29T20:02:13Z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