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Mettler-Toledo International (MTD)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Mettler-Toledo International Inc.</w:t>
            </w:r>
          </w:p>
        </w:tc>
      </w:tr>
      <w:tr>
        <w:tc>
          <w:tcPr>
            <w:tcW w:type="dxa" w:w="4320"/>
          </w:tcPr>
          <w:p>
            <w:r>
              <w:rPr>
                <w:rFonts w:ascii="Calibri" w:hAnsi="Calibri"/>
                <w:b/>
                <w:sz w:val="22"/>
              </w:rPr>
              <w:t>Ticker</w:t>
            </w:r>
          </w:p>
        </w:tc>
        <w:tc>
          <w:tcPr>
            <w:tcW w:type="dxa" w:w="4320"/>
          </w:tcPr>
          <w:p>
            <w:r>
              <w:rPr>
                <w:rFonts w:ascii="Calibri" w:hAnsi="Calibri"/>
                <w:sz w:val="22"/>
              </w:rPr>
              <w:t>MTD US</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TBD (Q2 2026 earnings call announced July 6, 2026)</w:t>
            </w:r>
          </w:p>
        </w:tc>
      </w:tr>
      <w:tr>
        <w:tc>
          <w:tcPr>
            <w:tcW w:type="dxa" w:w="4320"/>
          </w:tcPr>
          <w:p>
            <w:r>
              <w:rPr>
                <w:rFonts w:ascii="Calibri" w:hAnsi="Calibri"/>
                <w:b/>
                <w:sz w:val="22"/>
              </w:rPr>
              <w:t>Last Reported</w:t>
            </w:r>
          </w:p>
        </w:tc>
        <w:tc>
          <w:tcPr>
            <w:tcW w:type="dxa" w:w="4320"/>
          </w:tcPr>
          <w:p>
            <w:r>
              <w:rPr>
                <w:rFonts w:ascii="Calibri" w:hAnsi="Calibri"/>
                <w:sz w:val="22"/>
              </w:rPr>
              <w:t>Q1 2026 — May 7, 2026</w:t>
            </w:r>
          </w:p>
        </w:tc>
      </w:tr>
      <w:tr>
        <w:tc>
          <w:tcPr>
            <w:tcW w:type="dxa" w:w="4320"/>
          </w:tcPr>
          <w:p>
            <w:r>
              <w:rPr>
                <w:rFonts w:ascii="Calibri" w:hAnsi="Calibri"/>
                <w:b/>
                <w:sz w:val="22"/>
              </w:rPr>
              <w:t>Prepared Date</w:t>
            </w:r>
          </w:p>
        </w:tc>
        <w:tc>
          <w:tcPr>
            <w:tcW w:type="dxa" w:w="4320"/>
          </w:tcPr>
          <w:p>
            <w:r>
              <w:rPr>
                <w:rFonts w:ascii="Calibri" w:hAnsi="Calibri"/>
                <w:sz w:val="22"/>
              </w:rPr>
              <w:t>July 29, 2026</w:t>
            </w:r>
          </w:p>
        </w:tc>
      </w:tr>
      <w:tr>
        <w:tc>
          <w:tcPr>
            <w:tcW w:type="dxa" w:w="4320"/>
          </w:tcPr>
          <w:p>
            <w:r>
              <w:rPr>
                <w:rFonts w:ascii="Calibri" w:hAnsi="Calibri"/>
                <w:b/>
                <w:sz w:val="22"/>
              </w:rPr>
              <w:t>Sector ETF Used</w:t>
            </w:r>
          </w:p>
        </w:tc>
        <w:tc>
          <w:tcPr>
            <w:tcW w:type="dxa" w:w="4320"/>
          </w:tcPr>
          <w:p>
            <w:r>
              <w:rPr>
                <w:rFonts w:ascii="Calibri" w:hAnsi="Calibri"/>
                <w:sz w:val="22"/>
              </w:rPr>
              <w:t>XLV (Health Care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modestly constructive — consensus sits at a low-to-achievable bar on EPS ($10.81 vs. guidance midpoint of $10.78) and revenue (~$1.03B vs. guidance of ~3% LC growth), but the real question is whether organic growth can inflect above the guided ~1.5% organic (ex-acquisitions) and whether China industrial momentum and European bioprocessing can offset continued Western market softness. The biggest swing factor is </w:t>
      </w:r>
      <w:r>
        <w:rPr>
          <w:rFonts w:ascii="Calibri" w:hAnsi="Calibri"/>
          <w:b/>
          <w:color w:val="525866"/>
          <w:sz w:val="22"/>
        </w:rPr>
        <w:t>China and bioprocessing trajectory</w:t>
      </w:r>
      <w:r>
        <w:rPr>
          <w:rFonts w:ascii="Calibri" w:hAnsi="Calibri"/>
          <w:color w:val="525866"/>
          <w:sz w:val="22"/>
        </w:rPr>
        <w:t xml:space="preserve"> — peers TMO and DHR both reported Q2 beats with improving end-market commentary, providing a constructive read-through.</w:t>
      </w:r>
    </w:p>
    <w:p>
      <w:r>
        <w:rPr>
          <w:rFonts w:ascii="Calibri" w:hAnsi="Calibri"/>
          <w:color w:val="525866"/>
          <w:sz w:val="22"/>
        </w:rPr>
        <w:t xml:space="preserve">Heading into Q2 2026, the bar for MTD is low but not trivially so: management guided adjusted EPS of $10.70–$10.85 (consensus $10.81) and local currency sales growth of ~3% (including ~1.5% from acquisitions, implying ~1.5% organic), a deliberately cautious posture that reflects continued Western market uncertainty and the assumption that first-half tariff benefits revert to prior IEEPA-equivalent rates by mid-year. </w:t>
      </w:r>
      <w:r>
        <w:rPr>
          <w:rFonts w:ascii="Calibri" w:hAnsi="Calibri"/>
          <w:b/>
          <w:color w:val="525866"/>
          <w:sz w:val="22"/>
        </w:rPr>
        <w:t>Guidance tone was notably more cautious than Q1 actuals warranted</w:t>
      </w:r>
      <w:r>
        <w:rPr>
          <w:rFonts w:ascii="Calibri" w:hAnsi="Calibri"/>
          <w:color w:val="525866"/>
          <w:sz w:val="22"/>
        </w:rPr>
        <w:t xml:space="preserve"> — management cited Middle East conflict-driven energy cost inflation, customer delays in core industrial, and softer lab demand from academia/biotech as near-term headwinds, while flagging improving pipeline activity and no cancellations as positive signals. Estimate revisions since the May 7 print have been essentially flat (Q2 EPS consensus moved from $10.77 to $10.81, a modest +0.4% drift), suggesting the Street has largely accepted management’s framing rather than pricing in upside. The stock has recovered ~5% from its post-earnings gap-down (from $1,319 on May 7 to ~$1,388 as of July 28), meaningfully underperforming XLV (+15.6%) but roughly in line with SPY (+1.3%), implying the market has not yet priced in a beat and the multiple remains compressed relative to the sector. The key wildcard is </w:t>
      </w:r>
      <w:r>
        <w:rPr>
          <w:rFonts w:ascii="Calibri" w:hAnsi="Calibri"/>
          <w:b/>
          <w:color w:val="525866"/>
          <w:sz w:val="22"/>
        </w:rPr>
        <w:t>peer read-through from TMO (reported July 23) and DHR (reported July 21)</w:t>
      </w:r>
      <w:r>
        <w:rPr>
          <w:rFonts w:ascii="Calibri" w:hAnsi="Calibri"/>
          <w:color w:val="525866"/>
          <w:sz w:val="22"/>
        </w:rPr>
        <w:t>, both of which delivered Q2 beats with accelerating pharma/biotech demand, improving China, and strong bioprocessing order trends — all directly relevant to MTD’s lab and industrial segments and suggesting the organic growth bar may be beatable.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essentially at the guidance midpoint on both revenue and EPS, making this a low-but-not-easy bar. </w:t>
      </w:r>
      <w:r>
        <w:rPr>
          <w:rFonts w:ascii="Calibri" w:hAnsi="Calibri"/>
          <w:b/>
          <w:color w:val="525866"/>
          <w:sz w:val="22"/>
        </w:rPr>
        <w:t>Adjusted EPS is the primary swing factor</w:t>
      </w:r>
      <w:r>
        <w:rPr>
          <w:rFonts w:ascii="Calibri" w:hAnsi="Calibri"/>
          <w:color w:val="525866"/>
          <w:sz w:val="22"/>
        </w:rPr>
        <w:t xml:space="preserve"> — any organic growth upside (driven by China industrial or European bioprocessing) would flow through to margin leverage and beat the $10.81 consensus. Organic growth rate is the secondary swing factor given the wide gap between total LC growth (~3%) and organic (~1.5%).</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($M)</w:t>
            </w:r>
          </w:p>
        </w:tc>
        <w:tc>
          <w:tcPr>
            <w:tcW w:type="dxa" w:w="1234"/>
          </w:tcPr>
          <w:p>
            <w:r>
              <w:rPr>
                <w:rFonts w:ascii="Calibri" w:hAnsi="Calibri"/>
                <w:sz w:val="22"/>
              </w:rPr>
              <w:t>$947.1M</w:t>
            </w:r>
          </w:p>
        </w:tc>
        <w:tc>
          <w:tcPr>
            <w:tcW w:type="dxa" w:w="1234"/>
          </w:tcPr>
          <w:p>
            <w:r>
              <w:rPr>
                <w:rFonts w:ascii="Calibri" w:hAnsi="Calibri"/>
                <w:sz w:val="22"/>
              </w:rPr>
              <w:t>$983.2M</w:t>
            </w:r>
          </w:p>
        </w:tc>
        <w:tc>
          <w:tcPr>
            <w:tcW w:type="dxa" w:w="1234"/>
          </w:tcPr>
          <w:p>
            <w:r>
              <w:rPr>
                <w:rFonts w:ascii="Calibri" w:hAnsi="Calibri"/>
                <w:sz w:val="22"/>
              </w:rPr>
              <w:t>$1,029.7M</w:t>
            </w:r>
          </w:p>
        </w:tc>
        <w:tc>
          <w:tcPr>
            <w:tcW w:type="dxa" w:w="1234"/>
          </w:tcPr>
          <w:p>
            <w:r>
              <w:rPr>
                <w:rFonts w:ascii="Calibri" w:hAnsi="Calibri"/>
                <w:sz w:val="22"/>
              </w:rPr>
              <w:t>+4.7% YoY</w:t>
            </w:r>
          </w:p>
        </w:tc>
        <w:tc>
          <w:tcPr>
            <w:tcW w:type="dxa" w:w="1234"/>
          </w:tcPr>
          <w:p>
            <w:r>
              <w:rPr>
                <w:rFonts w:ascii="Calibri" w:hAnsi="Calibri"/>
                <w:sz w:val="22"/>
              </w:rPr>
              <w:t>~3% LC growth (~$1,012–$1,030M est.)</w:t>
            </w:r>
          </w:p>
        </w:tc>
        <w:tc>
          <w:tcPr>
            <w:tcW w:type="dxa" w:w="1234"/>
          </w:tcPr>
          <w:p>
            <w:r>
              <w:rPr>
                <w:rFonts w:ascii="Calibri" w:hAnsi="Calibri"/>
                <w:sz w:val="22"/>
              </w:rPr>
              <w:t>~+0.0% to midpoint</w:t>
            </w:r>
          </w:p>
        </w:tc>
      </w:tr>
      <w:tr>
        <w:tc>
          <w:tcPr>
            <w:tcW w:type="dxa" w:w="1234"/>
          </w:tcPr>
          <w:p>
            <w:r>
              <w:rPr>
                <w:rFonts w:ascii="Calibri" w:hAnsi="Calibri"/>
                <w:sz w:val="22"/>
              </w:rPr>
              <w:t>Diluted EPS — Operating ($)</w:t>
            </w:r>
          </w:p>
        </w:tc>
        <w:tc>
          <w:tcPr>
            <w:tcW w:type="dxa" w:w="1234"/>
          </w:tcPr>
          <w:p>
            <w:r>
              <w:rPr>
                <w:rFonts w:ascii="Calibri" w:hAnsi="Calibri"/>
                <w:sz w:val="22"/>
              </w:rPr>
              <w:t>$8.91</w:t>
            </w:r>
          </w:p>
        </w:tc>
        <w:tc>
          <w:tcPr>
            <w:tcW w:type="dxa" w:w="1234"/>
          </w:tcPr>
          <w:p>
            <w:r>
              <w:rPr>
                <w:rFonts w:ascii="Calibri" w:hAnsi="Calibri"/>
                <w:sz w:val="22"/>
              </w:rPr>
              <w:t>$10.09</w:t>
            </w:r>
          </w:p>
        </w:tc>
        <w:tc>
          <w:tcPr>
            <w:tcW w:type="dxa" w:w="1234"/>
          </w:tcPr>
          <w:p>
            <w:r>
              <w:rPr>
                <w:rFonts w:ascii="Calibri" w:hAnsi="Calibri"/>
                <w:sz w:val="22"/>
              </w:rPr>
              <w:t>$10.81</w:t>
            </w:r>
          </w:p>
        </w:tc>
        <w:tc>
          <w:tcPr>
            <w:tcW w:type="dxa" w:w="1234"/>
          </w:tcPr>
          <w:p>
            <w:r>
              <w:rPr>
                <w:rFonts w:ascii="Calibri" w:hAnsi="Calibri"/>
                <w:sz w:val="22"/>
              </w:rPr>
              <w:t>+7.1% YoY</w:t>
            </w:r>
          </w:p>
        </w:tc>
        <w:tc>
          <w:tcPr>
            <w:tcW w:type="dxa" w:w="1234"/>
          </w:tcPr>
          <w:p>
            <w:r>
              <w:rPr>
                <w:rFonts w:ascii="Calibri" w:hAnsi="Calibri"/>
                <w:sz w:val="22"/>
              </w:rPr>
              <w:t>$10.70–$10.85 (mid: $10.78)</w:t>
            </w:r>
          </w:p>
        </w:tc>
        <w:tc>
          <w:tcPr>
            <w:tcW w:type="dxa" w:w="1234"/>
          </w:tcPr>
          <w:p>
            <w:r>
              <w:rPr>
                <w:rFonts w:ascii="Calibri" w:hAnsi="Calibri"/>
                <w:sz w:val="22"/>
              </w:rPr>
              <w:t>+0.3% above midpoint</w:t>
            </w:r>
          </w:p>
        </w:tc>
      </w:tr>
      <w:tr>
        <w:tc>
          <w:tcPr>
            <w:tcW w:type="dxa" w:w="1234"/>
          </w:tcPr>
          <w:p>
            <w:r>
              <w:rPr>
                <w:rFonts w:ascii="Calibri" w:hAnsi="Calibri"/>
                <w:sz w:val="22"/>
              </w:rPr>
              <w:t>Organic Growth (%)</w:t>
            </w:r>
          </w:p>
        </w:tc>
        <w:tc>
          <w:tcPr>
            <w:tcW w:type="dxa" w:w="1234"/>
          </w:tcPr>
          <w:p>
            <w:r>
              <w:rPr>
                <w:rFonts w:ascii="Calibri" w:hAnsi="Calibri"/>
                <w:sz w:val="22"/>
              </w:rPr>
              <w:t>+1.5%</w:t>
            </w:r>
          </w:p>
        </w:tc>
        <w:tc>
          <w:tcPr>
            <w:tcW w:type="dxa" w:w="1234"/>
          </w:tcPr>
          <w:p>
            <w:r>
              <w:rPr>
                <w:rFonts w:ascii="Calibri" w:hAnsi="Calibri"/>
                <w:sz w:val="22"/>
              </w:rPr>
              <w:t>+1.9%</w:t>
            </w:r>
          </w:p>
        </w:tc>
        <w:tc>
          <w:tcPr>
            <w:tcW w:type="dxa" w:w="1234"/>
          </w:tcPr>
          <w:p>
            <w:r>
              <w:rPr>
                <w:rFonts w:ascii="Calibri" w:hAnsi="Calibri"/>
                <w:sz w:val="22"/>
              </w:rPr>
              <w:t>+2.0%</w:t>
            </w:r>
          </w:p>
        </w:tc>
        <w:tc>
          <w:tcPr>
            <w:tcW w:type="dxa" w:w="1234"/>
          </w:tcPr>
          <w:p>
            <w:r>
              <w:rPr>
                <w:rFonts w:ascii="Calibri" w:hAnsi="Calibri"/>
                <w:sz w:val="22"/>
              </w:rPr>
              <w:t>~+10bps YoY</w:t>
            </w:r>
          </w:p>
        </w:tc>
        <w:tc>
          <w:tcPr>
            <w:tcW w:type="dxa" w:w="1234"/>
          </w:tcPr>
          <w:p>
            <w:r>
              <w:rPr>
                <w:rFonts w:ascii="Calibri" w:hAnsi="Calibri"/>
                <w:sz w:val="22"/>
              </w:rPr>
              <w:t>~1.5% (implied; ~3% LC less ~1.5% acq.)</w:t>
            </w:r>
          </w:p>
        </w:tc>
        <w:tc>
          <w:tcPr>
            <w:tcW w:type="dxa" w:w="1234"/>
          </w:tcPr>
          <w:p>
            <w:r>
              <w:rPr>
                <w:rFonts w:ascii="Calibri" w:hAnsi="Calibri"/>
                <w:sz w:val="22"/>
              </w:rPr>
              <w:t>+50bps above implied organic</w:t>
            </w:r>
          </w:p>
        </w:tc>
      </w:tr>
      <w:tr>
        <w:tc>
          <w:tcPr>
            <w:tcW w:type="dxa" w:w="1234"/>
          </w:tcPr>
          <w:p>
            <w:r>
              <w:rPr>
                <w:rFonts w:ascii="Calibri" w:hAnsi="Calibri"/>
                <w:sz w:val="22"/>
              </w:rPr>
              <w:t>CC Growth (%)</w:t>
            </w:r>
          </w:p>
        </w:tc>
        <w:tc>
          <w:tcPr>
            <w:tcW w:type="dxa" w:w="1234"/>
          </w:tcPr>
          <w:p>
            <w:r>
              <w:rPr>
                <w:rFonts w:ascii="Calibri" w:hAnsi="Calibri"/>
                <w:sz w:val="22"/>
              </w:rPr>
              <w:t>+3.0%</w:t>
            </w:r>
          </w:p>
        </w:tc>
        <w:tc>
          <w:tcPr>
            <w:tcW w:type="dxa" w:w="1234"/>
          </w:tcPr>
          <w:p>
            <w:r>
              <w:rPr>
                <w:rFonts w:ascii="Calibri" w:hAnsi="Calibri"/>
                <w:sz w:val="22"/>
              </w:rPr>
              <w:t>+1.9%</w:t>
            </w:r>
          </w:p>
        </w:tc>
        <w:tc>
          <w:tcPr>
            <w:tcW w:type="dxa" w:w="1234"/>
          </w:tcPr>
          <w:p>
            <w:r>
              <w:rPr>
                <w:rFonts w:ascii="Calibri" w:hAnsi="Calibri"/>
                <w:sz w:val="22"/>
              </w:rPr>
              <w:t>+3.3%</w:t>
            </w:r>
          </w:p>
        </w:tc>
        <w:tc>
          <w:tcPr>
            <w:tcW w:type="dxa" w:w="1234"/>
          </w:tcPr>
          <w:p>
            <w:r>
              <w:rPr>
                <w:rFonts w:ascii="Calibri" w:hAnsi="Calibri"/>
                <w:sz w:val="22"/>
              </w:rPr>
              <w:t>+140bps YoY</w:t>
            </w:r>
          </w:p>
        </w:tc>
        <w:tc>
          <w:tcPr>
            <w:tcW w:type="dxa" w:w="1234"/>
          </w:tcPr>
          <w:p>
            <w:r>
              <w:rPr>
                <w:rFonts w:ascii="Calibri" w:hAnsi="Calibri"/>
                <w:sz w:val="22"/>
              </w:rPr>
              <w:t>~3% LC (incl. ~2% FX benefit)</w:t>
            </w:r>
          </w:p>
        </w:tc>
        <w:tc>
          <w:tcPr>
            <w:tcW w:type="dxa" w:w="1234"/>
          </w:tcPr>
          <w:p>
            <w:r>
              <w:rPr>
                <w:rFonts w:ascii="Calibri" w:hAnsi="Calibri"/>
                <w:sz w:val="22"/>
              </w:rPr>
              <w:t>+30bps above guidance</w:t>
            </w:r>
          </w:p>
        </w:tc>
      </w:tr>
      <w:tr>
        <w:tc>
          <w:tcPr>
            <w:tcW w:type="dxa" w:w="1234"/>
          </w:tcPr>
          <w:p>
            <w:r>
              <w:rPr>
                <w:rFonts w:ascii="Calibri" w:hAnsi="Calibri"/>
                <w:sz w:val="22"/>
              </w:rPr>
              <w:t>Operating Income — Operating ($M)</w:t>
            </w:r>
          </w:p>
        </w:tc>
        <w:tc>
          <w:tcPr>
            <w:tcW w:type="dxa" w:w="1234"/>
          </w:tcPr>
          <w:p>
            <w:r>
              <w:rPr>
                <w:rFonts w:ascii="Calibri" w:hAnsi="Calibri"/>
                <w:sz w:val="22"/>
              </w:rPr>
              <w:t>$246.2M</w:t>
            </w:r>
          </w:p>
        </w:tc>
        <w:tc>
          <w:tcPr>
            <w:tcW w:type="dxa" w:w="1234"/>
          </w:tcPr>
          <w:p>
            <w:r>
              <w:rPr>
                <w:rFonts w:ascii="Calibri" w:hAnsi="Calibri"/>
                <w:sz w:val="22"/>
              </w:rPr>
              <w:t>$283.3M</w:t>
            </w:r>
          </w:p>
        </w:tc>
        <w:tc>
          <w:tcPr>
            <w:tcW w:type="dxa" w:w="1234"/>
          </w:tcPr>
          <w:p>
            <w:r>
              <w:rPr>
                <w:rFonts w:ascii="Calibri" w:hAnsi="Calibri"/>
                <w:sz w:val="22"/>
              </w:rPr>
              <w:t>$295.1M</w:t>
            </w:r>
          </w:p>
        </w:tc>
        <w:tc>
          <w:tcPr>
            <w:tcW w:type="dxa" w:w="1234"/>
          </w:tcPr>
          <w:p>
            <w:r>
              <w:rPr>
                <w:rFonts w:ascii="Calibri" w:hAnsi="Calibri"/>
                <w:sz w:val="22"/>
              </w:rPr>
              <w:t>+4.2% YoY</w:t>
            </w:r>
          </w:p>
        </w:tc>
        <w:tc>
          <w:tcPr>
            <w:tcW w:type="dxa" w:w="1234"/>
          </w:tcPr>
          <w:p>
            <w:r>
              <w:rPr>
                <w:rFonts w:ascii="Calibri" w:hAnsi="Calibri"/>
                <w:sz w:val="22"/>
              </w:rPr>
              <w:t>N/A — not explicitly guided</w:t>
            </w:r>
          </w:p>
        </w:tc>
        <w:tc>
          <w:tcPr>
            <w:tcW w:type="dxa" w:w="1234"/>
          </w:tcPr>
          <w:p>
            <w:r>
              <w:rPr>
                <w:rFonts w:ascii="Calibri" w:hAnsi="Calibri"/>
                <w:sz w:val="22"/>
              </w:rPr>
              <w:t>N/A</w:t>
            </w:r>
          </w:p>
        </w:tc>
      </w:tr>
      <w:tr>
        <w:tc>
          <w:tcPr>
            <w:tcW w:type="dxa" w:w="1234"/>
          </w:tcPr>
          <w:p>
            <w:r>
              <w:rPr>
                <w:rFonts w:ascii="Calibri" w:hAnsi="Calibri"/>
                <w:sz w:val="22"/>
              </w:rPr>
              <w:t>Revenue — Lab ($M)</w:t>
            </w:r>
          </w:p>
        </w:tc>
        <w:tc>
          <w:tcPr>
            <w:tcW w:type="dxa" w:w="1234"/>
          </w:tcPr>
          <w:p>
            <w:r>
              <w:rPr>
                <w:rFonts w:ascii="Calibri" w:hAnsi="Calibri"/>
                <w:sz w:val="22"/>
              </w:rPr>
              <w:t>$524.6M</w:t>
            </w:r>
          </w:p>
        </w:tc>
        <w:tc>
          <w:tcPr>
            <w:tcW w:type="dxa" w:w="1234"/>
          </w:tcPr>
          <w:p>
            <w:r>
              <w:rPr>
                <w:rFonts w:ascii="Calibri" w:hAnsi="Calibri"/>
                <w:sz w:val="22"/>
              </w:rPr>
              <w:t>$537.9M</w:t>
            </w:r>
          </w:p>
        </w:tc>
        <w:tc>
          <w:tcPr>
            <w:tcW w:type="dxa" w:w="1234"/>
          </w:tcPr>
          <w:p>
            <w:r>
              <w:rPr>
                <w:rFonts w:ascii="Calibri" w:hAnsi="Calibri"/>
                <w:sz w:val="22"/>
              </w:rPr>
              <w:t>$559.2M</w:t>
            </w:r>
          </w:p>
        </w:tc>
        <w:tc>
          <w:tcPr>
            <w:tcW w:type="dxa" w:w="1234"/>
          </w:tcPr>
          <w:p>
            <w:r>
              <w:rPr>
                <w:rFonts w:ascii="Calibri" w:hAnsi="Calibri"/>
                <w:sz w:val="22"/>
              </w:rPr>
              <w:t>+4.0% YoY</w:t>
            </w:r>
          </w:p>
        </w:tc>
        <w:tc>
          <w:tcPr>
            <w:tcW w:type="dxa" w:w="1234"/>
          </w:tcPr>
          <w:p>
            <w:r>
              <w:rPr>
                <w:rFonts w:ascii="Calibri" w:hAnsi="Calibri"/>
                <w:sz w:val="22"/>
              </w:rPr>
              <w:t>Low to mid-single digit LC growth</w:t>
            </w:r>
          </w:p>
        </w:tc>
        <w:tc>
          <w:tcPr>
            <w:tcW w:type="dxa" w:w="1234"/>
          </w:tcPr>
          <w:p>
            <w:r>
              <w:rPr>
                <w:rFonts w:ascii="Calibri" w:hAnsi="Calibri"/>
                <w:sz w:val="22"/>
              </w:rPr>
              <w:t>~+4% vs. guidance midpoint</w:t>
            </w:r>
          </w:p>
        </w:tc>
      </w:tr>
      <w:tr>
        <w:tc>
          <w:tcPr>
            <w:tcW w:type="dxa" w:w="1234"/>
          </w:tcPr>
          <w:p>
            <w:r>
              <w:rPr>
                <w:rFonts w:ascii="Calibri" w:hAnsi="Calibri"/>
                <w:sz w:val="22"/>
              </w:rPr>
              <w:t>Revenue — Industrial ($M)</w:t>
            </w:r>
          </w:p>
        </w:tc>
        <w:tc>
          <w:tcPr>
            <w:tcW w:type="dxa" w:w="1234"/>
          </w:tcPr>
          <w:p>
            <w:r>
              <w:rPr>
                <w:rFonts w:ascii="Calibri" w:hAnsi="Calibri"/>
                <w:sz w:val="22"/>
              </w:rPr>
              <w:t>$374.6M</w:t>
            </w:r>
          </w:p>
        </w:tc>
        <w:tc>
          <w:tcPr>
            <w:tcW w:type="dxa" w:w="1234"/>
          </w:tcPr>
          <w:p>
            <w:r>
              <w:rPr>
                <w:rFonts w:ascii="Calibri" w:hAnsi="Calibri"/>
                <w:sz w:val="22"/>
              </w:rPr>
              <w:t>$394.6M</w:t>
            </w:r>
          </w:p>
        </w:tc>
        <w:tc>
          <w:tcPr>
            <w:tcW w:type="dxa" w:w="1234"/>
          </w:tcPr>
          <w:p>
            <w:r>
              <w:rPr>
                <w:rFonts w:ascii="Calibri" w:hAnsi="Calibri"/>
                <w:sz w:val="22"/>
              </w:rPr>
              <w:t>$413.9M</w:t>
            </w:r>
          </w:p>
        </w:tc>
        <w:tc>
          <w:tcPr>
            <w:tcW w:type="dxa" w:w="1234"/>
          </w:tcPr>
          <w:p>
            <w:r>
              <w:rPr>
                <w:rFonts w:ascii="Calibri" w:hAnsi="Calibri"/>
                <w:sz w:val="22"/>
              </w:rPr>
              <w:t>+4.9% YoY</w:t>
            </w:r>
          </w:p>
        </w:tc>
        <w:tc>
          <w:tcPr>
            <w:tcW w:type="dxa" w:w="1234"/>
          </w:tcPr>
          <w:p>
            <w:r>
              <w:rPr>
                <w:rFonts w:ascii="Calibri" w:hAnsi="Calibri"/>
                <w:sz w:val="22"/>
              </w:rPr>
              <w:t>Low to mid-single digit LC growth</w:t>
            </w:r>
          </w:p>
        </w:tc>
        <w:tc>
          <w:tcPr>
            <w:tcW w:type="dxa" w:w="1234"/>
          </w:tcPr>
          <w:p>
            <w:r>
              <w:rPr>
                <w:rFonts w:ascii="Calibri" w:hAnsi="Calibri"/>
                <w:sz w:val="22"/>
              </w:rPr>
              <w:t>~+5% vs. guidance midpoint</w:t>
            </w:r>
          </w:p>
        </w:tc>
      </w:tr>
      <w:tr>
        <w:tc>
          <w:tcPr>
            <w:tcW w:type="dxa" w:w="1234"/>
          </w:tcPr>
          <w:p>
            <w:r>
              <w:rPr>
                <w:rFonts w:ascii="Calibri" w:hAnsi="Calibri"/>
                <w:sz w:val="22"/>
              </w:rPr>
              <w:t>Revenue — Food Retail ($M)</w:t>
            </w:r>
          </w:p>
        </w:tc>
        <w:tc>
          <w:tcPr>
            <w:tcW w:type="dxa" w:w="1234"/>
          </w:tcPr>
          <w:p>
            <w:r>
              <w:rPr>
                <w:rFonts w:ascii="Calibri" w:hAnsi="Calibri"/>
                <w:sz w:val="22"/>
              </w:rPr>
              <w:t>$47.9M</w:t>
            </w:r>
          </w:p>
        </w:tc>
        <w:tc>
          <w:tcPr>
            <w:tcW w:type="dxa" w:w="1234"/>
          </w:tcPr>
          <w:p>
            <w:r>
              <w:rPr>
                <w:rFonts w:ascii="Calibri" w:hAnsi="Calibri"/>
                <w:sz w:val="22"/>
              </w:rPr>
              <w:t>$50.7M</w:t>
            </w:r>
          </w:p>
        </w:tc>
        <w:tc>
          <w:tcPr>
            <w:tcW w:type="dxa" w:w="1234"/>
          </w:tcPr>
          <w:p>
            <w:r>
              <w:rPr>
                <w:rFonts w:ascii="Calibri" w:hAnsi="Calibri"/>
                <w:sz w:val="22"/>
              </w:rPr>
              <w:t>$51.2M</w:t>
            </w:r>
          </w:p>
        </w:tc>
        <w:tc>
          <w:tcPr>
            <w:tcW w:type="dxa" w:w="1234"/>
          </w:tcPr>
          <w:p>
            <w:r>
              <w:rPr>
                <w:rFonts w:ascii="Calibri" w:hAnsi="Calibri"/>
                <w:sz w:val="22"/>
              </w:rPr>
              <w:t>+1.0% YoY</w:t>
            </w:r>
          </w:p>
        </w:tc>
        <w:tc>
          <w:tcPr>
            <w:tcW w:type="dxa" w:w="1234"/>
          </w:tcPr>
          <w:p>
            <w:r>
              <w:rPr>
                <w:rFonts w:ascii="Calibri" w:hAnsi="Calibri"/>
                <w:sz w:val="22"/>
              </w:rPr>
              <w:t>Lumpy; retail down in Q2 per mgmt.</w:t>
            </w:r>
          </w:p>
        </w:tc>
        <w:tc>
          <w:tcPr>
            <w:tcW w:type="dxa" w:w="1234"/>
          </w:tcPr>
          <w:p>
            <w:r>
              <w:rPr>
                <w:rFonts w:ascii="Calibri" w:hAnsi="Calibri"/>
                <w:sz w:val="22"/>
              </w:rPr>
              <w:t>N/A</w:t>
            </w:r>
          </w:p>
        </w:tc>
      </w:tr>
      <w:tr>
        <w:tc>
          <w:tcPr>
            <w:tcW w:type="dxa" w:w="1234"/>
          </w:tcPr>
          <w:p>
            <w:r>
              <w:rPr>
                <w:rFonts w:ascii="Calibri" w:hAnsi="Calibri"/>
                <w:sz w:val="22"/>
              </w:rPr>
              <w:t>Service Revenue ($M)</w:t>
            </w:r>
          </w:p>
        </w:tc>
        <w:tc>
          <w:tcPr>
            <w:tcW w:type="dxa" w:w="1234"/>
          </w:tcPr>
          <w:p>
            <w:r>
              <w:rPr>
                <w:rFonts w:ascii="Calibri" w:hAnsi="Calibri"/>
                <w:sz w:val="22"/>
              </w:rPr>
              <w:t>$262.9M</w:t>
            </w:r>
          </w:p>
        </w:tc>
        <w:tc>
          <w:tcPr>
            <w:tcW w:type="dxa" w:w="1234"/>
          </w:tcPr>
          <w:p>
            <w:r>
              <w:rPr>
                <w:rFonts w:ascii="Calibri" w:hAnsi="Calibri"/>
                <w:sz w:val="22"/>
              </w:rPr>
              <w:t>$249.0M</w:t>
            </w:r>
          </w:p>
        </w:tc>
        <w:tc>
          <w:tcPr>
            <w:tcW w:type="dxa" w:w="1234"/>
          </w:tcPr>
          <w:p>
            <w:r>
              <w:rPr>
                <w:rFonts w:ascii="Calibri" w:hAnsi="Calibri"/>
                <w:sz w:val="22"/>
              </w:rPr>
              <w:t>$265.7M</w:t>
            </w:r>
          </w:p>
        </w:tc>
        <w:tc>
          <w:tcPr>
            <w:tcW w:type="dxa" w:w="1234"/>
          </w:tcPr>
          <w:p>
            <w:r>
              <w:rPr>
                <w:rFonts w:ascii="Calibri" w:hAnsi="Calibri"/>
                <w:sz w:val="22"/>
              </w:rPr>
              <w:t>+6.7% YoY</w:t>
            </w:r>
          </w:p>
        </w:tc>
        <w:tc>
          <w:tcPr>
            <w:tcW w:type="dxa" w:w="1234"/>
          </w:tcPr>
          <w:p>
            <w:r>
              <w:rPr>
                <w:rFonts w:ascii="Calibri" w:hAnsi="Calibri"/>
                <w:sz w:val="22"/>
              </w:rPr>
              <w:t>Mid-to-high single digit growth</w:t>
            </w:r>
          </w:p>
        </w:tc>
        <w:tc>
          <w:tcPr>
            <w:tcW w:type="dxa" w:w="1234"/>
          </w:tcPr>
          <w:p>
            <w:r>
              <w:rPr>
                <w:rFonts w:ascii="Calibri" w:hAnsi="Calibri"/>
                <w:sz w:val="22"/>
              </w:rPr>
              <w:t>~+7% vs. guidance midpoint</w:t>
            </w:r>
          </w:p>
        </w:tc>
      </w:tr>
    </w:tbl>
    <w:p>
      <w:r>
        <w:rPr>
          <w:rFonts w:ascii="Calibri" w:hAnsi="Calibri"/>
          <w:i/>
          <w:color w:val="525866"/>
          <w:sz w:val="22"/>
        </w:rPr>
        <w:t>Source: Visible Alpha Consensus and Actuals Data. Q2 2026 guidance from MTD Q1 2026 Earnings Call (May 7–8, 2026). All VA-sourced figures are consensus estimates as of July 29, 2026.</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Net Sales and Diluted EPS — Operating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Net Sales ($M)</w:t>
            </w:r>
          </w:p>
        </w:tc>
        <w:tc>
          <w:tcPr>
            <w:tcW w:type="dxa" w:w="1440"/>
          </w:tcPr>
          <w:p>
            <w:r>
              <w:rPr>
                <w:rFonts w:ascii="Calibri" w:hAnsi="Calibri"/>
                <w:sz w:val="22"/>
              </w:rPr>
              <w:t>$947.1M</w:t>
            </w:r>
          </w:p>
        </w:tc>
        <w:tc>
          <w:tcPr>
            <w:tcW w:type="dxa" w:w="1440"/>
          </w:tcPr>
          <w:p>
            <w:r>
              <w:rPr>
                <w:rFonts w:ascii="Calibri" w:hAnsi="Calibri"/>
                <w:sz w:val="22"/>
              </w:rPr>
              <w:t>$941.6M</w:t>
            </w:r>
          </w:p>
        </w:tc>
        <w:tc>
          <w:tcPr>
            <w:tcW w:type="dxa" w:w="1440"/>
          </w:tcPr>
          <w:p>
            <w:r>
              <w:rPr>
                <w:rFonts w:ascii="Calibri" w:hAnsi="Calibri"/>
                <w:b/>
                <w:color w:val="30A46C"/>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 ($)</w:t>
            </w:r>
          </w:p>
        </w:tc>
        <w:tc>
          <w:tcPr>
            <w:tcW w:type="dxa" w:w="1440"/>
          </w:tcPr>
          <w:p>
            <w:r>
              <w:rPr>
                <w:rFonts w:ascii="Calibri" w:hAnsi="Calibri"/>
                <w:sz w:val="22"/>
              </w:rPr>
              <w:t>$8.91</w:t>
            </w:r>
          </w:p>
        </w:tc>
        <w:tc>
          <w:tcPr>
            <w:tcW w:type="dxa" w:w="1440"/>
          </w:tcPr>
          <w:p>
            <w:r>
              <w:rPr>
                <w:rFonts w:ascii="Calibri" w:hAnsi="Calibri"/>
                <w:sz w:val="22"/>
              </w:rPr>
              <w:t>$8.69</w:t>
            </w:r>
          </w:p>
        </w:tc>
        <w:tc>
          <w:tcPr>
            <w:tcW w:type="dxa" w:w="1440"/>
          </w:tcPr>
          <w:p>
            <w:r>
              <w:rPr>
                <w:rFonts w:ascii="Calibri" w:hAnsi="Calibri"/>
                <w:b/>
                <w:color w:val="30A46C"/>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Net Sales ($M)</w:t>
            </w:r>
          </w:p>
        </w:tc>
        <w:tc>
          <w:tcPr>
            <w:tcW w:type="dxa" w:w="1440"/>
          </w:tcPr>
          <w:p>
            <w:r>
              <w:rPr>
                <w:rFonts w:ascii="Calibri" w:hAnsi="Calibri"/>
                <w:sz w:val="22"/>
              </w:rPr>
              <w:t>$1,129.7M</w:t>
            </w:r>
          </w:p>
        </w:tc>
        <w:tc>
          <w:tcPr>
            <w:tcW w:type="dxa" w:w="1440"/>
          </w:tcPr>
          <w:p>
            <w:r>
              <w:rPr>
                <w:rFonts w:ascii="Calibri" w:hAnsi="Calibri"/>
                <w:sz w:val="22"/>
              </w:rPr>
              <w:t>$1,104.2M</w:t>
            </w:r>
          </w:p>
        </w:tc>
        <w:tc>
          <w:tcPr>
            <w:tcW w:type="dxa" w:w="1440"/>
          </w:tcPr>
          <w:p>
            <w:r>
              <w:rPr>
                <w:rFonts w:ascii="Calibri" w:hAnsi="Calibri"/>
                <w:b/>
                <w:color w:val="30A46C"/>
                <w:sz w:val="22"/>
              </w:rPr>
              <w:t>+2.3%</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 ($)</w:t>
            </w:r>
          </w:p>
        </w:tc>
        <w:tc>
          <w:tcPr>
            <w:tcW w:type="dxa" w:w="1440"/>
          </w:tcPr>
          <w:p>
            <w:r>
              <w:rPr>
                <w:rFonts w:ascii="Calibri" w:hAnsi="Calibri"/>
                <w:sz w:val="22"/>
              </w:rPr>
              <w:t>$13.36</w:t>
            </w:r>
          </w:p>
        </w:tc>
        <w:tc>
          <w:tcPr>
            <w:tcW w:type="dxa" w:w="1440"/>
          </w:tcPr>
          <w:p>
            <w:r>
              <w:rPr>
                <w:rFonts w:ascii="Calibri" w:hAnsi="Calibri"/>
                <w:sz w:val="22"/>
              </w:rPr>
              <w:t>$12.78</w:t>
            </w:r>
          </w:p>
        </w:tc>
        <w:tc>
          <w:tcPr>
            <w:tcW w:type="dxa" w:w="1440"/>
          </w:tcPr>
          <w:p>
            <w:r>
              <w:rPr>
                <w:rFonts w:ascii="Calibri" w:hAnsi="Calibri"/>
                <w:b/>
                <w:color w:val="30A46C"/>
                <w:sz w:val="22"/>
              </w:rPr>
              <w:t>+4.5%</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Net Sales ($M)</w:t>
            </w:r>
          </w:p>
        </w:tc>
        <w:tc>
          <w:tcPr>
            <w:tcW w:type="dxa" w:w="1440"/>
          </w:tcPr>
          <w:p>
            <w:r>
              <w:rPr>
                <w:rFonts w:ascii="Calibri" w:hAnsi="Calibri"/>
                <w:sz w:val="22"/>
              </w:rPr>
              <w:t>$1,029.7M</w:t>
            </w:r>
          </w:p>
        </w:tc>
        <w:tc>
          <w:tcPr>
            <w:tcW w:type="dxa" w:w="1440"/>
          </w:tcPr>
          <w:p>
            <w:r>
              <w:rPr>
                <w:rFonts w:ascii="Calibri" w:hAnsi="Calibri"/>
                <w:sz w:val="22"/>
              </w:rPr>
              <w:t>$997.5M</w:t>
            </w:r>
          </w:p>
        </w:tc>
        <w:tc>
          <w:tcPr>
            <w:tcW w:type="dxa" w:w="1440"/>
          </w:tcPr>
          <w:p>
            <w:r>
              <w:rPr>
                <w:rFonts w:ascii="Calibri" w:hAnsi="Calibri"/>
                <w:b/>
                <w:color w:val="30A46C"/>
                <w:sz w:val="22"/>
              </w:rPr>
              <w:t>+3.2%</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 ($)</w:t>
            </w:r>
          </w:p>
        </w:tc>
        <w:tc>
          <w:tcPr>
            <w:tcW w:type="dxa" w:w="1440"/>
          </w:tcPr>
          <w:p>
            <w:r>
              <w:rPr>
                <w:rFonts w:ascii="Calibri" w:hAnsi="Calibri"/>
                <w:sz w:val="22"/>
              </w:rPr>
              <w:t>$11.15</w:t>
            </w:r>
          </w:p>
        </w:tc>
        <w:tc>
          <w:tcPr>
            <w:tcW w:type="dxa" w:w="1440"/>
          </w:tcPr>
          <w:p>
            <w:r>
              <w:rPr>
                <w:rFonts w:ascii="Calibri" w:hAnsi="Calibri"/>
                <w:sz w:val="22"/>
              </w:rPr>
              <w:t>$10.66</w:t>
            </w:r>
          </w:p>
        </w:tc>
        <w:tc>
          <w:tcPr>
            <w:tcW w:type="dxa" w:w="1440"/>
          </w:tcPr>
          <w:p>
            <w:r>
              <w:rPr>
                <w:rFonts w:ascii="Calibri" w:hAnsi="Calibri"/>
                <w:b/>
                <w:color w:val="30A46C"/>
                <w:sz w:val="22"/>
              </w:rPr>
              <w:t>+4.6%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Net Sales ($M)</w:t>
            </w:r>
          </w:p>
        </w:tc>
        <w:tc>
          <w:tcPr>
            <w:tcW w:type="dxa" w:w="1440"/>
          </w:tcPr>
          <w:p>
            <w:r>
              <w:rPr>
                <w:rFonts w:ascii="Calibri" w:hAnsi="Calibri"/>
                <w:sz w:val="22"/>
              </w:rPr>
              <w:t>$983.2M</w:t>
            </w:r>
          </w:p>
        </w:tc>
        <w:tc>
          <w:tcPr>
            <w:tcW w:type="dxa" w:w="1440"/>
          </w:tcPr>
          <w:p>
            <w:r>
              <w:rPr>
                <w:rFonts w:ascii="Calibri" w:hAnsi="Calibri"/>
                <w:sz w:val="22"/>
              </w:rPr>
              <w:t>$955.4M</w:t>
            </w:r>
          </w:p>
        </w:tc>
        <w:tc>
          <w:tcPr>
            <w:tcW w:type="dxa" w:w="1440"/>
          </w:tcPr>
          <w:p>
            <w:r>
              <w:rPr>
                <w:rFonts w:ascii="Calibri" w:hAnsi="Calibri"/>
                <w:b/>
                <w:color w:val="30A46C"/>
                <w:sz w:val="22"/>
              </w:rPr>
              <w:t>+2.9%</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 ($)</w:t>
            </w:r>
          </w:p>
        </w:tc>
        <w:tc>
          <w:tcPr>
            <w:tcW w:type="dxa" w:w="1440"/>
          </w:tcPr>
          <w:p>
            <w:r>
              <w:rPr>
                <w:rFonts w:ascii="Calibri" w:hAnsi="Calibri"/>
                <w:sz w:val="22"/>
              </w:rPr>
              <w:t>$10.09</w:t>
            </w:r>
          </w:p>
        </w:tc>
        <w:tc>
          <w:tcPr>
            <w:tcW w:type="dxa" w:w="1440"/>
          </w:tcPr>
          <w:p>
            <w:r>
              <w:rPr>
                <w:rFonts w:ascii="Calibri" w:hAnsi="Calibri"/>
                <w:sz w:val="22"/>
              </w:rPr>
              <w:t>$9.58</w:t>
            </w:r>
          </w:p>
        </w:tc>
        <w:tc>
          <w:tcPr>
            <w:tcW w:type="dxa" w:w="1440"/>
          </w:tcPr>
          <w:p>
            <w:r>
              <w:rPr>
                <w:rFonts w:ascii="Calibri" w:hAnsi="Calibri"/>
                <w:b/>
                <w:color w:val="30A46C"/>
                <w:sz w:val="22"/>
              </w:rPr>
              <w:t>+5.3%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Net Sales ($M)</w:t>
            </w:r>
          </w:p>
        </w:tc>
        <w:tc>
          <w:tcPr>
            <w:tcW w:type="dxa" w:w="1440"/>
          </w:tcPr>
          <w:p>
            <w:r>
              <w:rPr>
                <w:rFonts w:ascii="Calibri" w:hAnsi="Calibri"/>
                <w:sz w:val="22"/>
              </w:rPr>
              <w:t>$883.7M</w:t>
            </w:r>
          </w:p>
        </w:tc>
        <w:tc>
          <w:tcPr>
            <w:tcW w:type="dxa" w:w="1440"/>
          </w:tcPr>
          <w:p>
            <w:r>
              <w:rPr>
                <w:rFonts w:ascii="Calibri" w:hAnsi="Calibri"/>
                <w:sz w:val="22"/>
              </w:rPr>
              <w:t>$875.1M</w:t>
            </w:r>
          </w:p>
        </w:tc>
        <w:tc>
          <w:tcPr>
            <w:tcW w:type="dxa" w:w="1440"/>
          </w:tcPr>
          <w:p>
            <w:r>
              <w:rPr>
                <w:rFonts w:ascii="Calibri" w:hAnsi="Calibri"/>
                <w:b/>
                <w:color w:val="30A46C"/>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 ($)</w:t>
            </w:r>
          </w:p>
        </w:tc>
        <w:tc>
          <w:tcPr>
            <w:tcW w:type="dxa" w:w="1440"/>
          </w:tcPr>
          <w:p>
            <w:r>
              <w:rPr>
                <w:rFonts w:ascii="Calibri" w:hAnsi="Calibri"/>
                <w:sz w:val="22"/>
              </w:rPr>
              <w:t>$8.19</w:t>
            </w:r>
          </w:p>
        </w:tc>
        <w:tc>
          <w:tcPr>
            <w:tcW w:type="dxa" w:w="1440"/>
          </w:tcPr>
          <w:p>
            <w:r>
              <w:rPr>
                <w:rFonts w:ascii="Calibri" w:hAnsi="Calibri"/>
                <w:sz w:val="22"/>
              </w:rPr>
              <w:t>$7.88</w:t>
            </w:r>
          </w:p>
        </w:tc>
        <w:tc>
          <w:tcPr>
            <w:tcW w:type="dxa" w:w="1440"/>
          </w:tcPr>
          <w:p>
            <w:r>
              <w:rPr>
                <w:rFonts w:ascii="Calibri" w:hAnsi="Calibri"/>
                <w:b/>
                <w:color w:val="30A46C"/>
                <w:sz w:val="22"/>
              </w:rPr>
              <w:t>+3.9%</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Net Sales ($M)</w:t>
            </w:r>
          </w:p>
        </w:tc>
        <w:tc>
          <w:tcPr>
            <w:tcW w:type="dxa" w:w="1440"/>
          </w:tcPr>
          <w:p>
            <w:r>
              <w:rPr>
                <w:rFonts w:ascii="Calibri" w:hAnsi="Calibri"/>
                <w:sz w:val="22"/>
              </w:rPr>
              <w:t>$1,045.1M</w:t>
            </w:r>
          </w:p>
        </w:tc>
        <w:tc>
          <w:tcPr>
            <w:tcW w:type="dxa" w:w="1440"/>
          </w:tcPr>
          <w:p>
            <w:r>
              <w:rPr>
                <w:rFonts w:ascii="Calibri" w:hAnsi="Calibri"/>
                <w:sz w:val="22"/>
              </w:rPr>
              <w:t>$1,008.7M</w:t>
            </w:r>
          </w:p>
        </w:tc>
        <w:tc>
          <w:tcPr>
            <w:tcW w:type="dxa" w:w="1440"/>
          </w:tcPr>
          <w:p>
            <w:r>
              <w:rPr>
                <w:rFonts w:ascii="Calibri" w:hAnsi="Calibri"/>
                <w:b/>
                <w:color w:val="30A46C"/>
                <w:sz w:val="22"/>
              </w:rPr>
              <w:t>+3.6%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 ($)</w:t>
            </w:r>
          </w:p>
        </w:tc>
        <w:tc>
          <w:tcPr>
            <w:tcW w:type="dxa" w:w="1440"/>
          </w:tcPr>
          <w:p>
            <w:r>
              <w:rPr>
                <w:rFonts w:ascii="Calibri" w:hAnsi="Calibri"/>
                <w:sz w:val="22"/>
              </w:rPr>
              <w:t>$12.41</w:t>
            </w:r>
          </w:p>
        </w:tc>
        <w:tc>
          <w:tcPr>
            <w:tcW w:type="dxa" w:w="1440"/>
          </w:tcPr>
          <w:p>
            <w:r>
              <w:rPr>
                <w:rFonts w:ascii="Calibri" w:hAnsi="Calibri"/>
                <w:sz w:val="22"/>
              </w:rPr>
              <w:t>$11.71</w:t>
            </w:r>
          </w:p>
        </w:tc>
        <w:tc>
          <w:tcPr>
            <w:tcW w:type="dxa" w:w="1440"/>
          </w:tcPr>
          <w:p>
            <w:r>
              <w:rPr>
                <w:rFonts w:ascii="Calibri" w:hAnsi="Calibri"/>
                <w:b/>
                <w:color w:val="30A46C"/>
                <w:sz w:val="22"/>
              </w:rPr>
              <w:t>+5.9%</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Net Sales ($M)</w:t>
            </w:r>
          </w:p>
        </w:tc>
        <w:tc>
          <w:tcPr>
            <w:tcW w:type="dxa" w:w="1440"/>
          </w:tcPr>
          <w:p>
            <w:r>
              <w:rPr>
                <w:rFonts w:ascii="Calibri" w:hAnsi="Calibri"/>
                <w:sz w:val="22"/>
              </w:rPr>
              <w:t>$954.5M</w:t>
            </w:r>
          </w:p>
        </w:tc>
        <w:tc>
          <w:tcPr>
            <w:tcW w:type="dxa" w:w="1440"/>
          </w:tcPr>
          <w:p>
            <w:r>
              <w:rPr>
                <w:rFonts w:ascii="Calibri" w:hAnsi="Calibri"/>
                <w:sz w:val="22"/>
              </w:rPr>
              <w:t>$945.0M</w:t>
            </w:r>
          </w:p>
        </w:tc>
        <w:tc>
          <w:tcPr>
            <w:tcW w:type="dxa" w:w="1440"/>
          </w:tcPr>
          <w:p>
            <w:r>
              <w:rPr>
                <w:rFonts w:ascii="Calibri" w:hAnsi="Calibri"/>
                <w:b/>
                <w:color w:val="30A46C"/>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EPS ($)</w:t>
            </w:r>
          </w:p>
        </w:tc>
        <w:tc>
          <w:tcPr>
            <w:tcW w:type="dxa" w:w="1440"/>
          </w:tcPr>
          <w:p>
            <w:r>
              <w:rPr>
                <w:rFonts w:ascii="Calibri" w:hAnsi="Calibri"/>
                <w:sz w:val="22"/>
              </w:rPr>
              <w:t>$10.21</w:t>
            </w:r>
          </w:p>
        </w:tc>
        <w:tc>
          <w:tcPr>
            <w:tcW w:type="dxa" w:w="1440"/>
          </w:tcPr>
          <w:p>
            <w:r>
              <w:rPr>
                <w:rFonts w:ascii="Calibri" w:hAnsi="Calibri"/>
                <w:sz w:val="22"/>
              </w:rPr>
              <w:t>$10.02</w:t>
            </w:r>
          </w:p>
        </w:tc>
        <w:tc>
          <w:tcPr>
            <w:tcW w:type="dxa" w:w="1440"/>
          </w:tcPr>
          <w:p>
            <w:r>
              <w:rPr>
                <w:rFonts w:ascii="Calibri" w:hAnsi="Calibri"/>
                <w:b/>
                <w:color w:val="30A46C"/>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Net Sales ($M)</w:t>
            </w:r>
          </w:p>
        </w:tc>
        <w:tc>
          <w:tcPr>
            <w:tcW w:type="dxa" w:w="1440"/>
          </w:tcPr>
          <w:p>
            <w:r>
              <w:rPr>
                <w:rFonts w:ascii="Calibri" w:hAnsi="Calibri"/>
                <w:sz w:val="22"/>
              </w:rPr>
              <w:t>$946.8M</w:t>
            </w:r>
          </w:p>
        </w:tc>
        <w:tc>
          <w:tcPr>
            <w:tcW w:type="dxa" w:w="1440"/>
          </w:tcPr>
          <w:p>
            <w:r>
              <w:rPr>
                <w:rFonts w:ascii="Calibri" w:hAnsi="Calibri"/>
                <w:sz w:val="22"/>
              </w:rPr>
              <w:t>$929.8M</w:t>
            </w:r>
          </w:p>
        </w:tc>
        <w:tc>
          <w:tcPr>
            <w:tcW w:type="dxa" w:w="1440"/>
          </w:tcPr>
          <w:p>
            <w:r>
              <w:rPr>
                <w:rFonts w:ascii="Calibri" w:hAnsi="Calibri"/>
                <w:b/>
                <w:color w:val="30A46C"/>
                <w:sz w:val="22"/>
              </w:rPr>
              <w:t>+1.8%</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Adj. EPS ($)</w:t>
            </w:r>
          </w:p>
        </w:tc>
        <w:tc>
          <w:tcPr>
            <w:tcW w:type="dxa" w:w="1440"/>
          </w:tcPr>
          <w:p>
            <w:r>
              <w:rPr>
                <w:rFonts w:ascii="Calibri" w:hAnsi="Calibri"/>
                <w:sz w:val="22"/>
              </w:rPr>
              <w:t>$9.65</w:t>
            </w:r>
          </w:p>
        </w:tc>
        <w:tc>
          <w:tcPr>
            <w:tcW w:type="dxa" w:w="1440"/>
          </w:tcPr>
          <w:p>
            <w:r>
              <w:rPr>
                <w:rFonts w:ascii="Calibri" w:hAnsi="Calibri"/>
                <w:sz w:val="22"/>
              </w:rPr>
              <w:t>$9.05</w:t>
            </w:r>
          </w:p>
        </w:tc>
        <w:tc>
          <w:tcPr>
            <w:tcW w:type="dxa" w:w="1440"/>
          </w:tcPr>
          <w:p>
            <w:r>
              <w:rPr>
                <w:rFonts w:ascii="Calibri" w:hAnsi="Calibri"/>
                <w:b/>
                <w:color w:val="30A46C"/>
                <w:sz w:val="22"/>
              </w:rPr>
              <w:t>+6.6%</w:t>
            </w:r>
          </w:p>
        </w:tc>
        <w:tc>
          <w:tcPr>
            <w:tcW w:type="dxa" w:w="1440"/>
          </w:tcPr>
          <w:p>
            <w:r>
              <w:rPr>
                <w:rFonts w:ascii="Calibri" w:hAnsi="Calibri"/>
                <w:b/>
                <w:color w:val="30A46C"/>
                <w:sz w:val="22"/>
              </w:rPr>
              <w:t>Beat</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the Q1 2026 print — Q2 EPS consensus drifted only +$0.04 (+0.4%) and FY EPS moved +$0.04 (+0.1%) since the post-earnings baseline, suggesting the Street has accepted management’s cautious framing. </w:t>
      </w:r>
      <w:r>
        <w:rPr>
          <w:rFonts w:ascii="Calibri" w:hAnsi="Calibri"/>
          <w:b/>
          <w:color w:val="525866"/>
          <w:sz w:val="22"/>
        </w:rPr>
        <w:t>The lack of upward revision despite a Q1 beat and improving peer commentary is a potential source of positive surprise</w:t>
      </w:r>
      <w:r>
        <w:rPr>
          <w:rFonts w:ascii="Calibri" w:hAnsi="Calibri"/>
          <w:color w:val="525866"/>
          <w:sz w:val="22"/>
        </w:rPr>
        <w:t xml:space="preserve"> if organic growth inflects above the ~1.5% implied organic bar.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5/13/26)</w:t>
            </w:r>
          </w:p>
        </w:tc>
        <w:tc>
          <w:tcPr>
            <w:tcW w:type="dxa" w:w="1080"/>
            <w:shd w:val="clear" w:color="auto" w:fill="3B4259"/>
          </w:tcPr>
          <w:p>
            <w:r>
              <w:rPr>
                <w:rFonts w:ascii="Calibri" w:hAnsi="Calibri"/>
                <w:b/>
                <w:color w:val="FFFFFF"/>
                <w:sz w:val="22"/>
              </w:rPr>
              <w:t>Current Consensus (7/29/26)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Q2 2026 ($M)</w:t>
            </w:r>
          </w:p>
        </w:tc>
        <w:tc>
          <w:tcPr>
            <w:tcW w:type="dxa" w:w="1080"/>
          </w:tcPr>
          <w:p>
            <w:r>
              <w:rPr>
                <w:rFonts w:ascii="Calibri" w:hAnsi="Calibri"/>
                <w:sz w:val="22"/>
              </w:rPr>
              <w:t>$1,031.6M</w:t>
            </w:r>
          </w:p>
        </w:tc>
        <w:tc>
          <w:tcPr>
            <w:tcW w:type="dxa" w:w="1080"/>
          </w:tcPr>
          <w:p>
            <w:r>
              <w:rPr>
                <w:rFonts w:ascii="Calibri" w:hAnsi="Calibri"/>
                <w:sz w:val="22"/>
              </w:rPr>
              <w:t>$1,029.7M</w:t>
            </w:r>
          </w:p>
        </w:tc>
        <w:tc>
          <w:tcPr>
            <w:tcW w:type="dxa" w:w="1080"/>
          </w:tcPr>
          <w:p>
            <w:r>
              <w:rPr>
                <w:rFonts w:ascii="Calibri" w:hAnsi="Calibri"/>
                <w:sz w:val="22"/>
              </w:rPr>
              <w:t>-0.2%</w:t>
            </w:r>
          </w:p>
        </w:tc>
        <w:tc>
          <w:tcPr>
            <w:tcW w:type="dxa" w:w="1080"/>
          </w:tcPr>
          <w:p>
            <w:r>
              <w:rPr>
                <w:rFonts w:ascii="Calibri" w:hAnsi="Calibri"/>
                <w:sz w:val="22"/>
              </w:rPr>
              <w:t>~3% LC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to midpoint</w:t>
            </w:r>
          </w:p>
        </w:tc>
      </w:tr>
      <w:tr>
        <w:tc>
          <w:tcPr>
            <w:tcW w:type="dxa" w:w="1080"/>
          </w:tcPr>
          <w:p>
            <w:r>
              <w:rPr>
                <w:rFonts w:ascii="Calibri" w:hAnsi="Calibri"/>
                <w:sz w:val="22"/>
              </w:rPr>
              <w:t>Adj. EPS — Q2 2026 ($)</w:t>
            </w:r>
          </w:p>
        </w:tc>
        <w:tc>
          <w:tcPr>
            <w:tcW w:type="dxa" w:w="1080"/>
          </w:tcPr>
          <w:p>
            <w:r>
              <w:rPr>
                <w:rFonts w:ascii="Calibri" w:hAnsi="Calibri"/>
                <w:sz w:val="22"/>
              </w:rPr>
              <w:t>$10.77</w:t>
            </w:r>
          </w:p>
        </w:tc>
        <w:tc>
          <w:tcPr>
            <w:tcW w:type="dxa" w:w="1080"/>
          </w:tcPr>
          <w:p>
            <w:r>
              <w:rPr>
                <w:rFonts w:ascii="Calibri" w:hAnsi="Calibri"/>
                <w:sz w:val="22"/>
              </w:rPr>
              <w:t>$10.81</w:t>
            </w:r>
          </w:p>
        </w:tc>
        <w:tc>
          <w:tcPr>
            <w:tcW w:type="dxa" w:w="1080"/>
          </w:tcPr>
          <w:p>
            <w:r>
              <w:rPr>
                <w:rFonts w:ascii="Calibri" w:hAnsi="Calibri"/>
                <w:sz w:val="22"/>
              </w:rPr>
              <w:t>+0.4%</w:t>
            </w:r>
          </w:p>
        </w:tc>
        <w:tc>
          <w:tcPr>
            <w:tcW w:type="dxa" w:w="1080"/>
          </w:tcPr>
          <w:p>
            <w:r>
              <w:rPr>
                <w:rFonts w:ascii="Calibri" w:hAnsi="Calibri"/>
                <w:sz w:val="22"/>
              </w:rPr>
              <w:t>$10.70–$10.85 (mid: $10.78)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above midpoint</w:t>
            </w:r>
          </w:p>
        </w:tc>
      </w:tr>
      <w:tr>
        <w:tc>
          <w:tcPr>
            <w:tcW w:type="dxa" w:w="1080"/>
          </w:tcPr>
          <w:p>
            <w:r>
              <w:rPr>
                <w:rFonts w:ascii="Calibri" w:hAnsi="Calibri"/>
                <w:sz w:val="22"/>
              </w:rPr>
              <w:t>Organic Growth — Q2 2026 (%)</w:t>
            </w:r>
          </w:p>
        </w:tc>
        <w:tc>
          <w:tcPr>
            <w:tcW w:type="dxa" w:w="1080"/>
          </w:tcPr>
          <w:p>
            <w:r>
              <w:rPr>
                <w:rFonts w:ascii="Calibri" w:hAnsi="Calibri"/>
                <w:sz w:val="22"/>
              </w:rPr>
              <w:t>+1.8%</w:t>
            </w:r>
          </w:p>
        </w:tc>
        <w:tc>
          <w:tcPr>
            <w:tcW w:type="dxa" w:w="1080"/>
          </w:tcPr>
          <w:p>
            <w:r>
              <w:rPr>
                <w:rFonts w:ascii="Calibri" w:hAnsi="Calibri"/>
                <w:sz w:val="22"/>
              </w:rPr>
              <w:t>+2.0%</w:t>
            </w:r>
          </w:p>
        </w:tc>
        <w:tc>
          <w:tcPr>
            <w:tcW w:type="dxa" w:w="1080"/>
          </w:tcPr>
          <w:p>
            <w:r>
              <w:rPr>
                <w:rFonts w:ascii="Calibri" w:hAnsi="Calibri"/>
                <w:sz w:val="22"/>
              </w:rPr>
              <w:t>+20bps</w:t>
            </w:r>
          </w:p>
        </w:tc>
        <w:tc>
          <w:tcPr>
            <w:tcW w:type="dxa" w:w="1080"/>
          </w:tcPr>
          <w:p>
            <w:r>
              <w:rPr>
                <w:rFonts w:ascii="Calibri" w:hAnsi="Calibri"/>
                <w:sz w:val="22"/>
              </w:rPr>
              <w:t>~1.5%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+50bps above implied</w:t>
            </w:r>
          </w:p>
        </w:tc>
      </w:tr>
      <w:tr>
        <w:tc>
          <w:tcPr>
            <w:tcW w:type="dxa" w:w="1080"/>
          </w:tcPr>
          <w:p>
            <w:r>
              <w:rPr>
                <w:rFonts w:ascii="Calibri" w:hAnsi="Calibri"/>
                <w:sz w:val="22"/>
              </w:rPr>
              <w:t>Net Sales — FY 2026 ($M)</w:t>
            </w:r>
          </w:p>
        </w:tc>
        <w:tc>
          <w:tcPr>
            <w:tcW w:type="dxa" w:w="1080"/>
          </w:tcPr>
          <w:p>
            <w:r>
              <w:rPr>
                <w:rFonts w:ascii="Calibri" w:hAnsi="Calibri"/>
                <w:sz w:val="22"/>
              </w:rPr>
              <w:t>$4,248.8M</w:t>
            </w:r>
          </w:p>
        </w:tc>
        <w:tc>
          <w:tcPr>
            <w:tcW w:type="dxa" w:w="1080"/>
          </w:tcPr>
          <w:p>
            <w:r>
              <w:rPr>
                <w:rFonts w:ascii="Calibri" w:hAnsi="Calibri"/>
                <w:sz w:val="22"/>
              </w:rPr>
              <w:t>$4,239.4M</w:t>
            </w:r>
          </w:p>
        </w:tc>
        <w:tc>
          <w:tcPr>
            <w:tcW w:type="dxa" w:w="1080"/>
          </w:tcPr>
          <w:p>
            <w:r>
              <w:rPr>
                <w:rFonts w:ascii="Calibri" w:hAnsi="Calibri"/>
                <w:sz w:val="22"/>
              </w:rPr>
              <w:t>-0.2%</w:t>
            </w:r>
          </w:p>
        </w:tc>
        <w:tc>
          <w:tcPr>
            <w:tcW w:type="dxa" w:w="1080"/>
          </w:tcPr>
          <w:p>
            <w:r>
              <w:rPr>
                <w:rFonts w:ascii="Calibri" w:hAnsi="Calibri"/>
                <w:sz w:val="22"/>
              </w:rPr>
              <w:t>~4% LC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to guidance</w:t>
            </w:r>
          </w:p>
        </w:tc>
      </w:tr>
      <w:tr>
        <w:tc>
          <w:tcPr>
            <w:tcW w:type="dxa" w:w="1080"/>
          </w:tcPr>
          <w:p>
            <w:r>
              <w:rPr>
                <w:rFonts w:ascii="Calibri" w:hAnsi="Calibri"/>
                <w:sz w:val="22"/>
              </w:rPr>
              <w:t>Adj. EPS — FY 2026 ($)</w:t>
            </w:r>
          </w:p>
        </w:tc>
        <w:tc>
          <w:tcPr>
            <w:tcW w:type="dxa" w:w="1080"/>
          </w:tcPr>
          <w:p>
            <w:r>
              <w:rPr>
                <w:rFonts w:ascii="Calibri" w:hAnsi="Calibri"/>
                <w:sz w:val="22"/>
              </w:rPr>
              <w:t>$46.68</w:t>
            </w:r>
          </w:p>
        </w:tc>
        <w:tc>
          <w:tcPr>
            <w:tcW w:type="dxa" w:w="1080"/>
          </w:tcPr>
          <w:p>
            <w:r>
              <w:rPr>
                <w:rFonts w:ascii="Calibri" w:hAnsi="Calibri"/>
                <w:sz w:val="22"/>
              </w:rPr>
              <w:t>$46.72</w:t>
            </w:r>
          </w:p>
        </w:tc>
        <w:tc>
          <w:tcPr>
            <w:tcW w:type="dxa" w:w="1080"/>
          </w:tcPr>
          <w:p>
            <w:r>
              <w:rPr>
                <w:rFonts w:ascii="Calibri" w:hAnsi="Calibri"/>
                <w:sz w:val="22"/>
              </w:rPr>
              <w:t>+0.1%</w:t>
            </w:r>
          </w:p>
        </w:tc>
        <w:tc>
          <w:tcPr>
            <w:tcW w:type="dxa" w:w="1080"/>
          </w:tcPr>
          <w:p>
            <w:r>
              <w:rPr>
                <w:rFonts w:ascii="Calibri" w:hAnsi="Calibri"/>
                <w:sz w:val="22"/>
              </w:rPr>
              <w:t>$46.30–$46.95 (mid: $46.63)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midpoint</w:t>
            </w:r>
          </w:p>
        </w:tc>
      </w:tr>
      <w:tr>
        <w:tc>
          <w:tcPr>
            <w:tcW w:type="dxa" w:w="1080"/>
          </w:tcPr>
          <w:p>
            <w:r>
              <w:rPr>
                <w:rFonts w:ascii="Calibri" w:hAnsi="Calibri"/>
                <w:sz w:val="22"/>
              </w:rPr>
              <w:t>Organic Growth — FY 2026 (%)</w:t>
            </w:r>
          </w:p>
        </w:tc>
        <w:tc>
          <w:tcPr>
            <w:tcW w:type="dxa" w:w="1080"/>
          </w:tcPr>
          <w:p>
            <w:r>
              <w:rPr>
                <w:rFonts w:ascii="Calibri" w:hAnsi="Calibri"/>
                <w:sz w:val="22"/>
              </w:rPr>
              <w:t>+3.2%</w:t>
            </w:r>
          </w:p>
        </w:tc>
        <w:tc>
          <w:tcPr>
            <w:tcW w:type="dxa" w:w="1080"/>
          </w:tcPr>
          <w:p>
            <w:r>
              <w:rPr>
                <w:rFonts w:ascii="Calibri" w:hAnsi="Calibri"/>
                <w:sz w:val="22"/>
              </w:rPr>
              <w:t>+3.0%</w:t>
            </w:r>
          </w:p>
        </w:tc>
        <w:tc>
          <w:tcPr>
            <w:tcW w:type="dxa" w:w="1080"/>
          </w:tcPr>
          <w:p>
            <w:r>
              <w:rPr>
                <w:rFonts w:ascii="Calibri" w:hAnsi="Calibri"/>
                <w:sz w:val="22"/>
              </w:rPr>
              <w:t>-20bps</w:t>
            </w:r>
          </w:p>
        </w:tc>
        <w:tc>
          <w:tcPr>
            <w:tcW w:type="dxa" w:w="1080"/>
          </w:tcPr>
          <w:p>
            <w:r>
              <w:rPr>
                <w:rFonts w:ascii="Calibri" w:hAnsi="Calibri"/>
                <w:sz w:val="22"/>
              </w:rPr>
              <w:t>~2.5% implied (4% LC less &lt;1% acq.)</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+50bps above implied</w:t>
            </w:r>
          </w:p>
        </w:tc>
      </w:tr>
    </w:tbl>
    <w:p>
      <w:r>
        <w:rPr>
          <w:rFonts w:ascii="Calibri" w:hAnsi="Calibri"/>
          <w:i/>
          <w:color w:val="525866"/>
          <w:sz w:val="22"/>
        </w:rPr>
        <w:t>Source: Visible Alpha Consensus and Actuals Data (as-of date 5/13/26 and current as of 7/29/26). MTD Q1 2026 Earnings Call (May 7–8, 2026).</w:t>
      </w:r>
    </w:p>
    <w:p>
      <w:r>
        <w:rPr>
          <w:rFonts w:ascii="Calibri" w:hAnsi="Calibri"/>
          <w:color w:val="525866"/>
          <w:sz w:val="22"/>
        </w:rPr>
        <w:t>Estimates have barely moved since the Q1 print, tracking guidance almost exactly. The modest +20bps drift upward in Q2 organic growth consensus (from +1.8% to +2.0%) suggests the Street is pricing in a slight beat on organic, but not aggressively. The gap between consensus organic (+2.0%) and management’s implied organic (~1.5%) represents a small but meaningful cushion — if peers’ improving end-market commentary translates to MTD, the upside could be larger than the flat estimate trajectory implies.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MTD has significantly underperformed XLV (+15.6%) since the Q1 2026 earnings date (May 7), recovering only ~+5.2% from the post-earnings gap-down, while SPY is roughly flat (+1.3%). </w:t>
      </w:r>
      <w:r>
        <w:rPr>
          <w:rFonts w:ascii="Calibri" w:hAnsi="Calibri"/>
          <w:b/>
          <w:color w:val="525866"/>
          <w:sz w:val="22"/>
        </w:rPr>
        <w:t>The underperformance is almost entirely sentiment/multiple-driven</w:t>
      </w:r>
      <w:r>
        <w:rPr>
          <w:rFonts w:ascii="Calibri" w:hAnsi="Calibri"/>
          <w:color w:val="525866"/>
          <w:sz w:val="22"/>
        </w:rPr>
        <w:t xml:space="preserve"> — the Q2 EPS guidance miss vs. consensus triggered a sharp de-rating that has not fully recovered, even as the broader healthcare sector has rallied strongly. This creates an asymmetric setup: if Q2 results beat and/or guidance is raised, the stock has meaningful catch-up potential vs. XLV.</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MTD vs. XLV (Health Care ETF) vs. S&amp;P 500 (SPY) — Indexed to 100 at Q1 2026 Earnings Date (May 7, 2026). Source: Yahoo Finance /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MTD</w:t>
            </w:r>
          </w:p>
        </w:tc>
        <w:tc>
          <w:tcPr>
            <w:tcW w:type="dxa" w:w="2160"/>
            <w:shd w:val="clear" w:color="auto" w:fill="3B4259"/>
          </w:tcPr>
          <w:p>
            <w:r>
              <w:rPr>
                <w:rFonts w:ascii="Calibri" w:hAnsi="Calibri"/>
                <w:b/>
                <w:color w:val="FFFFFF"/>
                <w:sz w:val="22"/>
              </w:rPr>
              <w:t>XLV</w:t>
            </w:r>
          </w:p>
        </w:tc>
        <w:tc>
          <w:tcPr>
            <w:tcW w:type="dxa" w:w="2160"/>
            <w:shd w:val="clear" w:color="auto" w:fill="3B4259"/>
          </w:tcPr>
          <w:p>
            <w:r>
              <w:rPr>
                <w:rFonts w:ascii="Calibri" w:hAnsi="Calibri"/>
                <w:b/>
                <w:color w:val="FFFFFF"/>
                <w:sz w:val="22"/>
              </w:rPr>
              <w:t>SPY</w:t>
            </w:r>
          </w:p>
        </w:tc>
      </w:tr>
      <w:tr>
        <w:tc>
          <w:tcPr>
            <w:tcW w:type="dxa" w:w="2160"/>
          </w:tcPr>
          <w:p>
            <w:r>
              <w:rPr>
                <w:rFonts w:ascii="Calibri" w:hAnsi="Calibri"/>
                <w:sz w:val="22"/>
              </w:rPr>
              <w:t>Price at Q1 Earnings (May 7, 2026)</w:t>
            </w:r>
          </w:p>
        </w:tc>
        <w:tc>
          <w:tcPr>
            <w:tcW w:type="dxa" w:w="2160"/>
          </w:tcPr>
          <w:p>
            <w:r>
              <w:rPr>
                <w:rFonts w:ascii="Calibri" w:hAnsi="Calibri"/>
                <w:sz w:val="22"/>
              </w:rPr>
              <w:t>$1,319.29</w:t>
            </w:r>
          </w:p>
        </w:tc>
        <w:tc>
          <w:tcPr>
            <w:tcW w:type="dxa" w:w="2160"/>
          </w:tcPr>
          <w:p>
            <w:r>
              <w:rPr>
                <w:rFonts w:ascii="Calibri" w:hAnsi="Calibri"/>
                <w:sz w:val="22"/>
              </w:rPr>
              <w:t>$144.72</w:t>
            </w:r>
          </w:p>
        </w:tc>
        <w:tc>
          <w:tcPr>
            <w:tcW w:type="dxa" w:w="2160"/>
          </w:tcPr>
          <w:p>
            <w:r>
              <w:rPr>
                <w:rFonts w:ascii="Calibri" w:hAnsi="Calibri"/>
                <w:sz w:val="22"/>
              </w:rPr>
              <w:t>$731.58</w:t>
            </w:r>
          </w:p>
        </w:tc>
      </w:tr>
      <w:tr>
        <w:tc>
          <w:tcPr>
            <w:tcW w:type="dxa" w:w="2160"/>
          </w:tcPr>
          <w:p>
            <w:r>
              <w:rPr>
                <w:rFonts w:ascii="Calibri" w:hAnsi="Calibri"/>
                <w:sz w:val="22"/>
              </w:rPr>
              <w:t>Price at July 28, 2026 (latest close)</w:t>
            </w:r>
          </w:p>
        </w:tc>
        <w:tc>
          <w:tcPr>
            <w:tcW w:type="dxa" w:w="2160"/>
          </w:tcPr>
          <w:p>
            <w:r>
              <w:rPr>
                <w:rFonts w:ascii="Calibri" w:hAnsi="Calibri"/>
                <w:sz w:val="22"/>
              </w:rPr>
              <w:t>$1,388.38</w:t>
            </w:r>
          </w:p>
        </w:tc>
        <w:tc>
          <w:tcPr>
            <w:tcW w:type="dxa" w:w="2160"/>
          </w:tcPr>
          <w:p>
            <w:r>
              <w:rPr>
                <w:rFonts w:ascii="Calibri" w:hAnsi="Calibri"/>
                <w:sz w:val="22"/>
              </w:rPr>
              <w:t>$167.26</w:t>
            </w:r>
          </w:p>
        </w:tc>
        <w:tc>
          <w:tcPr>
            <w:tcW w:type="dxa" w:w="2160"/>
          </w:tcPr>
          <w:p>
            <w:r>
              <w:rPr>
                <w:rFonts w:ascii="Calibri" w:hAnsi="Calibri"/>
                <w:sz w:val="22"/>
              </w:rPr>
              <w:t>$740.86</w:t>
            </w:r>
          </w:p>
        </w:tc>
      </w:tr>
      <w:tr>
        <w:tc>
          <w:tcPr>
            <w:tcW w:type="dxa" w:w="2160"/>
          </w:tcPr>
          <w:p>
            <w:r>
              <w:rPr>
                <w:rFonts w:ascii="Calibri" w:hAnsi="Calibri"/>
                <w:sz w:val="22"/>
              </w:rPr>
              <w:t>Return Since Q1 Earnings</w:t>
            </w:r>
          </w:p>
        </w:tc>
        <w:tc>
          <w:tcPr>
            <w:tcW w:type="dxa" w:w="2160"/>
          </w:tcPr>
          <w:p>
            <w:r>
              <w:rPr>
                <w:rFonts w:ascii="Calibri" w:hAnsi="Calibri"/>
                <w:b/>
                <w:color w:val="E5484D"/>
                <w:sz w:val="22"/>
              </w:rPr>
              <w:t>+5.2%</w:t>
            </w:r>
          </w:p>
        </w:tc>
        <w:tc>
          <w:tcPr>
            <w:tcW w:type="dxa" w:w="2160"/>
          </w:tcPr>
          <w:p>
            <w:r>
              <w:rPr>
                <w:rFonts w:ascii="Calibri" w:hAnsi="Calibri"/>
                <w:sz w:val="22"/>
              </w:rPr>
              <w:t>+15.6%</w:t>
            </w:r>
          </w:p>
        </w:tc>
        <w:tc>
          <w:tcPr>
            <w:tcW w:type="dxa" w:w="2160"/>
          </w:tcPr>
          <w:p>
            <w:r>
              <w:rPr>
                <w:rFonts w:ascii="Calibri" w:hAnsi="Calibri"/>
                <w:sz w:val="22"/>
              </w:rPr>
              <w:t>+1.3%</w:t>
            </w:r>
          </w:p>
        </w:tc>
      </w:tr>
      <w:tr>
        <w:tc>
          <w:tcPr>
            <w:tcW w:type="dxa" w:w="2160"/>
          </w:tcPr>
          <w:p>
            <w:r>
              <w:rPr>
                <w:rFonts w:ascii="Calibri" w:hAnsi="Calibri"/>
                <w:sz w:val="22"/>
              </w:rPr>
              <w:t>Relative to XLV</w:t>
            </w:r>
          </w:p>
        </w:tc>
        <w:tc>
          <w:tcPr>
            <w:tcW w:type="dxa" w:w="2160"/>
          </w:tcPr>
          <w:p>
            <w:r>
              <w:rPr>
                <w:rFonts w:ascii="Calibri" w:hAnsi="Calibri"/>
                <w:b/>
                <w:color w:val="E5484D"/>
                <w:sz w:val="22"/>
              </w:rPr>
              <w:t>-10.4pp vs. XLV</w:t>
            </w:r>
          </w:p>
        </w:tc>
        <w:tc>
          <w:tcPr>
            <w:tcW w:type="dxa" w:w="2160"/>
          </w:tcPr>
          <w:p>
            <w:r>
              <w:rPr>
                <w:rFonts w:ascii="Calibri" w:hAnsi="Calibri"/>
                <w:sz w:val="22"/>
              </w:rPr>
              <w:t>—</w:t>
            </w:r>
          </w:p>
        </w:tc>
        <w:tc>
          <w:tcPr>
            <w:tcW w:type="dxa" w:w="2160"/>
          </w:tcPr>
          <w:p>
            <w:r>
              <w:rPr>
                <w:rFonts w:ascii="Calibri" w:hAnsi="Calibri"/>
                <w:sz w:val="22"/>
              </w:rPr>
              <w:t>—</w:t>
            </w:r>
          </w:p>
        </w:tc>
      </w:tr>
      <w:tr>
        <w:tc>
          <w:tcPr>
            <w:tcW w:type="dxa" w:w="2160"/>
          </w:tcPr>
          <w:p>
            <w:r>
              <w:rPr>
                <w:rFonts w:ascii="Calibri" w:hAnsi="Calibri"/>
                <w:sz w:val="22"/>
              </w:rPr>
              <w:t>Post-Earnings Gap-Down (May 7 close to May 8 close)</w:t>
            </w:r>
          </w:p>
        </w:tc>
        <w:tc>
          <w:tcPr>
            <w:tcW w:type="dxa" w:w="2160"/>
          </w:tcPr>
          <w:p>
            <w:r>
              <w:rPr>
                <w:rFonts w:ascii="Calibri" w:hAnsi="Calibri"/>
                <w:b/>
                <w:color w:val="E5484D"/>
                <w:sz w:val="22"/>
              </w:rPr>
              <w:t>-$194.83 / -14.8%</w:t>
            </w:r>
          </w:p>
        </w:tc>
        <w:tc>
          <w:tcPr>
            <w:tcW w:type="dxa" w:w="2160"/>
          </w:tcPr>
          <w:p>
            <w:r>
              <w:rPr>
                <w:rFonts w:ascii="Calibri" w:hAnsi="Calibri"/>
                <w:sz w:val="22"/>
              </w:rPr>
              <w:t>-0.9%</w:t>
            </w:r>
          </w:p>
        </w:tc>
        <w:tc>
          <w:tcPr>
            <w:tcW w:type="dxa" w:w="2160"/>
          </w:tcPr>
          <w:p>
            <w:r>
              <w:rPr>
                <w:rFonts w:ascii="Calibri" w:hAnsi="Calibri"/>
                <w:sz w:val="22"/>
              </w:rPr>
              <w:t>+0.8%</w:t>
            </w:r>
          </w:p>
        </w:tc>
      </w:tr>
    </w:tbl>
    <w:p>
      <w:r>
        <w:rPr>
          <w:rFonts w:ascii="Calibri" w:hAnsi="Calibri"/>
          <w:i/>
          <w:color w:val="525866"/>
          <w:sz w:val="22"/>
        </w:rPr>
        <w:t>Source: Stock Price Data (Yahoo Finance). Sector ETF: XLV (Health Care Select Sector SPDR) — appropriate for MTD’s precision instruments / life science tools sub-sector.</w:t>
      </w:r>
    </w:p>
    <w:p>
      <w:r>
        <w:rPr>
          <w:rFonts w:ascii="Calibri" w:hAnsi="Calibri"/>
          <w:b/>
          <w:color w:val="525866"/>
          <w:sz w:val="22"/>
        </w:rPr>
        <w:t xml:space="preserve">Key events since Q1 earnings: </w:t>
      </w:r>
      <w:r>
        <w:rPr>
          <w:rFonts w:ascii="Calibri" w:hAnsi="Calibri"/>
          <w:color w:val="525866"/>
          <w:sz w:val="22"/>
        </w:rPr>
        <w:t>(1) May 13, 2026 — MTD filed an 8-K disclosing executive compensation restructuring (increased LTI targets); no financial guidance change. (2) July 6, 2026 — MTD announced the Q2 2026 earnings conference call (date TBD). The stock’s recovery from the post-earnings trough (~$1,025 on May 13) to ~$1,388 by July 28 reflects gradual re-rating as macro uncertainty eased and peer results improved, but the stock remains well below its pre-earnings level on a relative basis vs. XLV.</w:t>
      </w:r>
    </w:p>
    <w:p>
      <w:r>
        <w:br w:type="page"/>
      </w:r>
    </w:p>
    <w:p>
      <w:pPr>
        <w:pStyle w:val="Heading2"/>
      </w:pPr>
      <w:r>
        <w:rPr>
          <w:rFonts w:ascii="Calibri" w:hAnsi="Calibri"/>
          <w:b/>
          <w:color w:val="3B4259"/>
          <w:sz w:val="28"/>
        </w:rPr>
        <w:t>6. Peer Commentaries — Read-Through (Last 60 Days, Q2 2026 Relevant)</w:t>
      </w:r>
    </w:p>
    <w:p>
      <w:r>
        <w:rPr>
          <w:rFonts w:ascii="Calibri" w:hAnsi="Calibri"/>
          <w:b/>
          <w:color w:val="525866"/>
          <w:sz w:val="22"/>
        </w:rPr>
        <w:t xml:space="preserve">Key Takeaway: </w:t>
      </w:r>
      <w:r>
        <w:rPr>
          <w:rFonts w:ascii="Calibri" w:hAnsi="Calibri"/>
          <w:color w:val="525866"/>
          <w:sz w:val="22"/>
        </w:rPr>
        <w:t xml:space="preserve">Peer commentary from TMO (Q2 2026 earnings, July 23), DHR (Q2 2026 earnings, July 21), Agilent (Q2 FY2026 earnings, May 27), Waters (Jefferies Conference, June 3), and Revvity (Goldman Sachs Conference, June 9) is broadly constructive for MTD’s Q2 print. </w:t>
      </w:r>
      <w:r>
        <w:rPr>
          <w:rFonts w:ascii="Calibri" w:hAnsi="Calibri"/>
          <w:b/>
          <w:color w:val="525866"/>
          <w:sz w:val="22"/>
        </w:rPr>
        <w:t>The most important read-throughs are: (1) pharma/biotech demand accelerating, (2) China industrial stabilizing/improving, (3) replacement cycle momentum in lab instruments, and (4) tariff mitigation largely achieved by peers.</w:t>
      </w:r>
      <w:r>
        <w:rPr>
          <w:rFonts w:ascii="Calibri" w:hAnsi="Calibri"/>
          <w:color w:val="525866"/>
          <w:sz w:val="22"/>
        </w:rPr>
        <w:t xml:space="preserve"> Academic/government remains soft but stabilizing. Chemical end markets remain a headwind (consistent with MTD’s own commentary).</w:t>
      </w:r>
    </w:p>
    <w:p>
      <w:pPr>
        <w:pStyle w:val="Heading3"/>
      </w:pPr>
      <w:r>
        <w:rPr>
          <w:rFonts w:ascii="Calibri" w:hAnsi="Calibri"/>
          <w:b/>
          <w:color w:val="3B4259"/>
          <w:sz w:val="24"/>
        </w:rPr>
        <w:t>Thermo Fisher Scientific (TMO) — Q2 2026 Earnings (July 23, 2026)</w:t>
      </w:r>
    </w:p>
    <w:p>
      <w:r>
        <w:rPr>
          <w:rFonts w:ascii="Calibri" w:hAnsi="Calibri"/>
          <w:b/>
          <w:color w:val="525866"/>
          <w:sz w:val="22"/>
        </w:rPr>
        <w:t xml:space="preserve">Relevance to MTD: </w:t>
      </w:r>
      <w:r>
        <w:rPr>
          <w:rFonts w:ascii="Calibri" w:hAnsi="Calibri"/>
          <w:color w:val="525866"/>
          <w:sz w:val="22"/>
        </w:rPr>
        <w:t>TMO is the closest large-cap peer with significant overlap in lab instruments, bioprocessing, and China exposure. TMO’s Q2 2026 results are the single most important read-through for MTD.</w:t>
      </w:r>
    </w:p>
    <w:p>
      <w:pPr>
        <w:pStyle w:val="ListBullet"/>
        <w:ind w:left="360" w:hanging="360"/>
      </w:pPr>
      <w:r>
        <w:rPr>
          <w:rFonts w:ascii="Calibri" w:hAnsi="Calibri"/>
          <w:b/>
          <w:color w:val="525866"/>
          <w:sz w:val="22"/>
        </w:rPr>
        <w:t>Organic revenue growth of +5% in Q2 2026</w:t>
      </w:r>
      <w:r>
        <w:rPr>
          <w:rFonts w:ascii="Calibri" w:hAnsi="Calibri"/>
          <w:color w:val="525866"/>
          <w:sz w:val="22"/>
        </w:rPr>
        <w:t xml:space="preserve"> (vs. +3% in H1 total), with full-year organic growth guidance raised to ~4% (upper end of 3–4% range). </w:t>
      </w:r>
      <w:r>
        <w:rPr>
          <w:rFonts w:ascii="Calibri" w:hAnsi="Calibri"/>
          <w:i/>
          <w:color w:val="525866"/>
          <w:sz w:val="22"/>
        </w:rPr>
        <w:t xml:space="preserve">Read-through: </w:t>
      </w:r>
      <w:r>
        <w:rPr>
          <w:rFonts w:ascii="Calibri" w:hAnsi="Calibri"/>
          <w:i/>
          <w:color w:val="525866"/>
          <w:sz w:val="22"/>
        </w:rPr>
        <w:t>Positive — suggests the broader precision instruments/lab tools market is tracking above MTD’s guided ~1.5% organic, supporting the case for an organic beat.</w:t>
      </w:r>
    </w:p>
    <w:p>
      <w:pPr>
        <w:pStyle w:val="ListBullet"/>
        <w:ind w:left="360" w:hanging="360"/>
      </w:pPr>
      <w:r>
        <w:rPr>
          <w:rFonts w:ascii="Calibri" w:hAnsi="Calibri"/>
          <w:b/>
          <w:color w:val="525866"/>
          <w:sz w:val="22"/>
        </w:rPr>
        <w:t>Pharma and biotech delivered mid-single digit growth</w:t>
      </w:r>
      <w:r>
        <w:rPr>
          <w:rFonts w:ascii="Calibri" w:hAnsi="Calibri"/>
          <w:color w:val="525866"/>
          <w:sz w:val="22"/>
        </w:rPr>
        <w:t xml:space="preserve"> in Q2, led by bioproduction and clinical research. Biotech recovery “evident in results.” Large pharma tone described as “quite positive” with excitement about pipelines. </w:t>
      </w:r>
      <w:r>
        <w:rPr>
          <w:rFonts w:ascii="Calibri" w:hAnsi="Calibri"/>
          <w:i/>
          <w:color w:val="525866"/>
          <w:sz w:val="22"/>
        </w:rPr>
        <w:t xml:space="preserve">Read-through: </w:t>
      </w:r>
      <w:r>
        <w:rPr>
          <w:rFonts w:ascii="Calibri" w:hAnsi="Calibri"/>
          <w:i/>
          <w:color w:val="525866"/>
          <w:sz w:val="22"/>
        </w:rPr>
        <w:t>Positive for MTD’s lab segment (bioprocessing, pharma/biopharma replacement demand) and service revenue.</w:t>
      </w:r>
    </w:p>
    <w:p>
      <w:pPr>
        <w:pStyle w:val="ListBullet"/>
        <w:ind w:left="360" w:hanging="360"/>
      </w:pPr>
      <w:r>
        <w:rPr>
          <w:rFonts w:ascii="Calibri" w:hAnsi="Calibri"/>
          <w:b/>
          <w:color w:val="525866"/>
          <w:sz w:val="22"/>
        </w:rPr>
        <w:t>Academic and government grew low single digits</w:t>
      </w:r>
      <w:r>
        <w:rPr>
          <w:rFonts w:ascii="Calibri" w:hAnsi="Calibri"/>
          <w:color w:val="525866"/>
          <w:sz w:val="22"/>
        </w:rPr>
        <w:t xml:space="preserve"> in Q2, driven by chromatography/mass spec launches. TMO noted “US returned to growth” and “Europe had a very strong quarter.” However, TMO is “not calling a new trend” and expects stabilization rather than acceleration. </w:t>
      </w:r>
      <w:r>
        <w:rPr>
          <w:rFonts w:ascii="Calibri" w:hAnsi="Calibri"/>
          <w:i/>
          <w:color w:val="525866"/>
          <w:sz w:val="22"/>
        </w:rPr>
        <w:t xml:space="preserve">Read-through: </w:t>
      </w:r>
      <w:r>
        <w:rPr>
          <w:rFonts w:ascii="Calibri" w:hAnsi="Calibri"/>
          <w:i/>
          <w:color w:val="525866"/>
          <w:sz w:val="22"/>
        </w:rPr>
        <w:t>Modestly positive for MTD’s lab segment (pipette weakness from academia/biotech was a Q1 headwind); stabilization is better than further deterioration.</w:t>
      </w:r>
    </w:p>
    <w:p>
      <w:pPr>
        <w:pStyle w:val="ListBullet"/>
        <w:ind w:left="360" w:hanging="360"/>
      </w:pPr>
      <w:r>
        <w:rPr>
          <w:rFonts w:ascii="Calibri" w:hAnsi="Calibri"/>
          <w:b/>
          <w:color w:val="525866"/>
          <w:sz w:val="22"/>
        </w:rPr>
        <w:t>China grew low single digits</w:t>
      </w:r>
      <w:r>
        <w:rPr>
          <w:rFonts w:ascii="Calibri" w:hAnsi="Calibri"/>
          <w:color w:val="525866"/>
          <w:sz w:val="22"/>
        </w:rPr>
        <w:t xml:space="preserve"> in Q2, driven by pharma/biotech and industrial/applied. Academic/government in China “remains muted.” China is ~7.5% of TMO revenue. </w:t>
      </w:r>
      <w:r>
        <w:rPr>
          <w:rFonts w:ascii="Calibri" w:hAnsi="Calibri"/>
          <w:i/>
          <w:color w:val="525866"/>
          <w:sz w:val="22"/>
        </w:rPr>
        <w:t xml:space="preserve">Read-through: </w:t>
      </w:r>
      <w:r>
        <w:rPr>
          <w:rFonts w:ascii="Calibri" w:hAnsi="Calibri"/>
          <w:i/>
          <w:color w:val="525866"/>
          <w:sz w:val="22"/>
        </w:rPr>
        <w:t>Consistent with MTD’s mid-single digit China guidance for FY2026; industrial momentum in China is a key MTD driver.</w:t>
      </w:r>
    </w:p>
    <w:p>
      <w:pPr>
        <w:pStyle w:val="ListBullet"/>
        <w:ind w:left="360" w:hanging="360"/>
      </w:pPr>
      <w:r>
        <w:rPr>
          <w:rFonts w:ascii="Calibri" w:hAnsi="Calibri"/>
          <w:b/>
          <w:color w:val="525866"/>
          <w:sz w:val="22"/>
        </w:rPr>
        <w:t>Analytical Instruments segment grew +7% organic</w:t>
      </w:r>
      <w:r>
        <w:rPr>
          <w:rFonts w:ascii="Calibri" w:hAnsi="Calibri"/>
          <w:color w:val="525866"/>
          <w:sz w:val="22"/>
        </w:rPr>
        <w:t xml:space="preserve"> in Q2, led by electron microscopy. Strong adoption of high-end instrumentation globally. </w:t>
      </w:r>
      <w:r>
        <w:rPr>
          <w:rFonts w:ascii="Calibri" w:hAnsi="Calibri"/>
          <w:i/>
          <w:color w:val="525866"/>
          <w:sz w:val="22"/>
        </w:rPr>
        <w:t xml:space="preserve">Read-through: </w:t>
      </w:r>
      <w:r>
        <w:rPr>
          <w:rFonts w:ascii="Calibri" w:hAnsi="Calibri"/>
          <w:i/>
          <w:color w:val="525866"/>
          <w:sz w:val="22"/>
        </w:rPr>
        <w:t>Positive for MTD’s lab instruments and product inspection businesses.</w:t>
      </w:r>
    </w:p>
    <w:p>
      <w:pPr>
        <w:pStyle w:val="ListBullet"/>
        <w:ind w:left="360" w:hanging="360"/>
      </w:pPr>
      <w:r>
        <w:rPr>
          <w:rFonts w:ascii="Calibri" w:hAnsi="Calibri"/>
          <w:b/>
          <w:color w:val="525866"/>
          <w:sz w:val="22"/>
        </w:rPr>
        <w:t>Full-year organic growth raised to ~4%</w:t>
      </w:r>
      <w:r>
        <w:rPr>
          <w:rFonts w:ascii="Calibri" w:hAnsi="Calibri"/>
          <w:color w:val="525866"/>
          <w:sz w:val="22"/>
        </w:rPr>
        <w:t xml:space="preserve"> (upper end of 3–4% range), with H2 expected to step up to ~4% organic. </w:t>
      </w:r>
      <w:r>
        <w:rPr>
          <w:rFonts w:ascii="Calibri" w:hAnsi="Calibri"/>
          <w:i/>
          <w:color w:val="525866"/>
          <w:sz w:val="22"/>
        </w:rPr>
        <w:t xml:space="preserve">Read-through: </w:t>
      </w:r>
      <w:r>
        <w:rPr>
          <w:rFonts w:ascii="Calibri" w:hAnsi="Calibri"/>
          <w:i/>
          <w:color w:val="525866"/>
          <w:sz w:val="22"/>
        </w:rPr>
        <w:t>Positive for MTD’s H2 outlook and full-year guidance trajectory.</w:t>
      </w:r>
    </w:p>
    <w:p>
      <w:pPr>
        <w:pStyle w:val="Heading3"/>
      </w:pPr>
      <w:r>
        <w:rPr>
          <w:rFonts w:ascii="Calibri" w:hAnsi="Calibri"/>
          <w:b/>
          <w:color w:val="3B4259"/>
          <w:sz w:val="24"/>
        </w:rPr>
        <w:t>Danaher (DHR) — Q2 2026 Earnings (July 21, 2026)</w:t>
      </w:r>
    </w:p>
    <w:p>
      <w:r>
        <w:rPr>
          <w:rFonts w:ascii="Calibri" w:hAnsi="Calibri"/>
          <w:b/>
          <w:color w:val="525866"/>
          <w:sz w:val="22"/>
        </w:rPr>
        <w:t xml:space="preserve">Relevance to MTD: </w:t>
      </w:r>
      <w:r>
        <w:rPr>
          <w:rFonts w:ascii="Calibri" w:hAnsi="Calibri"/>
          <w:color w:val="525866"/>
          <w:sz w:val="22"/>
        </w:rPr>
        <w:t>DHR has significant overlap in bioprocessing (Cytiva), life science instruments, and China. DHR’s bioprocessing commentary is particularly relevant to MTD’s lab segment.</w:t>
      </w:r>
    </w:p>
    <w:p>
      <w:pPr>
        <w:pStyle w:val="ListBullet"/>
        <w:ind w:left="360" w:hanging="360"/>
      </w:pPr>
      <w:r>
        <w:rPr>
          <w:rFonts w:ascii="Calibri" w:hAnsi="Calibri"/>
          <w:b/>
          <w:color w:val="525866"/>
          <w:sz w:val="22"/>
        </w:rPr>
        <w:t>Core revenue +3% YoY in Q2 2026</w:t>
      </w:r>
      <w:r>
        <w:rPr>
          <w:rFonts w:ascii="Calibri" w:hAnsi="Calibri"/>
          <w:color w:val="525866"/>
          <w:sz w:val="22"/>
        </w:rPr>
        <w:t xml:space="preserve"> (+4.5% ex-respiratory), a 150bps acceleration from Q1. “Better than expected revenue, earnings and cash flow.” </w:t>
      </w:r>
      <w:r>
        <w:rPr>
          <w:rFonts w:ascii="Calibri" w:hAnsi="Calibri"/>
          <w:i/>
          <w:color w:val="525866"/>
          <w:sz w:val="22"/>
        </w:rPr>
        <w:t xml:space="preserve">Read-through: </w:t>
      </w:r>
      <w:r>
        <w:rPr>
          <w:rFonts w:ascii="Calibri" w:hAnsi="Calibri"/>
          <w:i/>
          <w:color w:val="525866"/>
          <w:sz w:val="22"/>
        </w:rPr>
        <w:t>Positive — broad-based improvement in end markets supports MTD’s Q2 organic growth case.</w:t>
      </w:r>
    </w:p>
    <w:p>
      <w:pPr>
        <w:pStyle w:val="ListBullet"/>
        <w:ind w:left="360" w:hanging="360"/>
      </w:pPr>
      <w:r>
        <w:rPr>
          <w:rFonts w:ascii="Calibri" w:hAnsi="Calibri"/>
          <w:b/>
          <w:color w:val="525866"/>
          <w:sz w:val="22"/>
        </w:rPr>
        <w:t>Bioprocessing grew low single digits in Q2</w:t>
      </w:r>
      <w:r>
        <w:rPr>
          <w:rFonts w:ascii="Calibri" w:hAnsi="Calibri"/>
          <w:color w:val="525866"/>
          <w:sz w:val="22"/>
        </w:rPr>
        <w:t xml:space="preserve">, with mid-teens order growth in both consumables and equipment. However, ~$50–60M of large chromatography resin shipments slipped out of Q2 due to customer production schedule changes, impacting bioprocessing growth by ~500bps. DHR maintains high single-digit long-term bioprocessing outlook. </w:t>
      </w:r>
      <w:r>
        <w:rPr>
          <w:rFonts w:ascii="Calibri" w:hAnsi="Calibri"/>
          <w:i/>
          <w:color w:val="525866"/>
          <w:sz w:val="22"/>
        </w:rPr>
        <w:t xml:space="preserve">Read-through: </w:t>
      </w:r>
      <w:r>
        <w:rPr>
          <w:rFonts w:ascii="Calibri" w:hAnsi="Calibri"/>
          <w:i/>
          <w:color w:val="525866"/>
          <w:sz w:val="22"/>
        </w:rPr>
        <w:t>Mixed — underlying demand is very healthy (mid-teens orders), but timing slippage is a reminder that bioprocessing revenue can be lumpy. MTD’s bioprocessing exposure is primarily in lab instruments/consumables rather than large resin shipments, so the slippage risk is lower.</w:t>
      </w:r>
    </w:p>
    <w:p>
      <w:pPr>
        <w:pStyle w:val="ListBullet"/>
        <w:ind w:left="360" w:hanging="360"/>
      </w:pPr>
      <w:r>
        <w:rPr>
          <w:rFonts w:ascii="Calibri" w:hAnsi="Calibri"/>
          <w:b/>
          <w:color w:val="525866"/>
          <w:sz w:val="22"/>
        </w:rPr>
        <w:t>Academic and government markets “largely stabilized”</w:t>
      </w:r>
      <w:r>
        <w:rPr>
          <w:rFonts w:ascii="Calibri" w:hAnsi="Calibri"/>
          <w:color w:val="525866"/>
          <w:sz w:val="22"/>
        </w:rPr>
        <w:t xml:space="preserve"> but “remained below normal levels.” Academia is &lt;5% of DHR revenue. </w:t>
      </w:r>
      <w:r>
        <w:rPr>
          <w:rFonts w:ascii="Calibri" w:hAnsi="Calibri"/>
          <w:i/>
          <w:color w:val="525866"/>
          <w:sz w:val="22"/>
        </w:rPr>
        <w:t xml:space="preserve">Read-through: </w:t>
      </w:r>
      <w:r>
        <w:rPr>
          <w:rFonts w:ascii="Calibri" w:hAnsi="Calibri"/>
          <w:i/>
          <w:color w:val="525866"/>
          <w:sz w:val="22"/>
        </w:rPr>
        <w:t>Consistent with MTD’s own commentary; stabilization is the base case, not recovery.</w:t>
      </w:r>
    </w:p>
    <w:p>
      <w:pPr>
        <w:pStyle w:val="ListBullet"/>
        <w:ind w:left="360" w:hanging="360"/>
      </w:pPr>
      <w:r>
        <w:rPr>
          <w:rFonts w:ascii="Calibri" w:hAnsi="Calibri"/>
          <w:b/>
          <w:color w:val="525866"/>
          <w:sz w:val="22"/>
        </w:rPr>
        <w:t>China mid-single digit growth</w:t>
      </w:r>
      <w:r>
        <w:rPr>
          <w:rFonts w:ascii="Calibri" w:hAnsi="Calibri"/>
          <w:color w:val="525866"/>
          <w:sz w:val="22"/>
        </w:rPr>
        <w:t xml:space="preserve"> in Q2, with biotech delivering solid growth and diagnostics improving sequentially. VBP headwinds starting to lessen. </w:t>
      </w:r>
      <w:r>
        <w:rPr>
          <w:rFonts w:ascii="Calibri" w:hAnsi="Calibri"/>
          <w:i/>
          <w:color w:val="525866"/>
          <w:sz w:val="22"/>
        </w:rPr>
        <w:t xml:space="preserve">Read-through: </w:t>
      </w:r>
      <w:r>
        <w:rPr>
          <w:rFonts w:ascii="Calibri" w:hAnsi="Calibri"/>
          <w:i/>
          <w:color w:val="525866"/>
          <w:sz w:val="22"/>
        </w:rPr>
        <w:t>Positive for MTD’s China industrial and lab segments.</w:t>
      </w:r>
    </w:p>
    <w:p>
      <w:pPr>
        <w:pStyle w:val="ListBullet"/>
        <w:ind w:left="360" w:hanging="360"/>
      </w:pPr>
      <w:r>
        <w:rPr>
          <w:rFonts w:ascii="Calibri" w:hAnsi="Calibri"/>
          <w:b/>
          <w:color w:val="525866"/>
          <w:sz w:val="22"/>
        </w:rPr>
        <w:t>Life sciences businesses delivered “strongest quarter in several years”</w:t>
      </w:r>
      <w:r>
        <w:rPr>
          <w:rFonts w:ascii="Calibri" w:hAnsi="Calibri"/>
          <w:color w:val="525866"/>
          <w:sz w:val="22"/>
        </w:rPr>
        <w:t xml:space="preserve"> with core revenue +5.5%. Large pharma investment strengthening; biotech demand benefiting from more favorable funding environment. </w:t>
      </w:r>
      <w:r>
        <w:rPr>
          <w:rFonts w:ascii="Calibri" w:hAnsi="Calibri"/>
          <w:i/>
          <w:color w:val="525866"/>
          <w:sz w:val="22"/>
        </w:rPr>
        <w:t xml:space="preserve">Read-through: </w:t>
      </w:r>
      <w:r>
        <w:rPr>
          <w:rFonts w:ascii="Calibri" w:hAnsi="Calibri"/>
          <w:i/>
          <w:color w:val="525866"/>
          <w:sz w:val="22"/>
        </w:rPr>
        <w:t>Positive for MTD’s lab segment, particularly pharma/biopharma replacement demand.</w:t>
      </w:r>
    </w:p>
    <w:p>
      <w:pPr>
        <w:pStyle w:val="ListBullet"/>
        <w:ind w:left="360" w:hanging="360"/>
      </w:pPr>
      <w:r>
        <w:rPr>
          <w:rFonts w:ascii="Calibri" w:hAnsi="Calibri"/>
          <w:b/>
          <w:color w:val="525866"/>
          <w:sz w:val="22"/>
        </w:rPr>
        <w:t>Pall Industrial (filtration) grew ~10%</w:t>
      </w:r>
      <w:r>
        <w:rPr>
          <w:rFonts w:ascii="Calibri" w:hAnsi="Calibri"/>
          <w:color w:val="525866"/>
          <w:sz w:val="22"/>
        </w:rPr>
        <w:t xml:space="preserve"> in Q2, led by microelectronics. Semiconductor and memory customers driving growth. </w:t>
      </w:r>
      <w:r>
        <w:rPr>
          <w:rFonts w:ascii="Calibri" w:hAnsi="Calibri"/>
          <w:i/>
          <w:color w:val="525866"/>
          <w:sz w:val="22"/>
        </w:rPr>
        <w:t xml:space="preserve">Read-through: </w:t>
      </w:r>
      <w:r>
        <w:rPr>
          <w:rFonts w:ascii="Calibri" w:hAnsi="Calibri"/>
          <w:i/>
          <w:color w:val="525866"/>
          <w:sz w:val="22"/>
        </w:rPr>
        <w:t>Positive for MTD’s Process Analytics business (semiconductor/ultra-pure water), which management cited as a “hot segment” growing strongly.</w:t>
      </w:r>
    </w:p>
    <w:p>
      <w:pPr>
        <w:pStyle w:val="ListBullet"/>
        <w:ind w:left="360" w:hanging="360"/>
      </w:pPr>
      <w:r>
        <w:rPr>
          <w:rFonts w:ascii="Calibri" w:hAnsi="Calibri"/>
          <w:b/>
          <w:color w:val="525866"/>
          <w:sz w:val="22"/>
        </w:rPr>
        <w:t>DHR expects to exit Q4 2026 at mid-single digit core revenue growth</w:t>
      </w:r>
      <w:r>
        <w:rPr>
          <w:rFonts w:ascii="Calibri" w:hAnsi="Calibri"/>
          <w:color w:val="525866"/>
          <w:sz w:val="22"/>
        </w:rPr>
        <w:t xml:space="preserve">, with full-year core growth of 3–4%. </w:t>
      </w:r>
      <w:r>
        <w:rPr>
          <w:rFonts w:ascii="Calibri" w:hAnsi="Calibri"/>
          <w:i/>
          <w:color w:val="525866"/>
          <w:sz w:val="22"/>
        </w:rPr>
        <w:t xml:space="preserve">Read-through: </w:t>
      </w:r>
      <w:r>
        <w:rPr>
          <w:rFonts w:ascii="Calibri" w:hAnsi="Calibri"/>
          <w:i/>
          <w:color w:val="525866"/>
          <w:sz w:val="22"/>
        </w:rPr>
        <w:t>Positive for MTD’s H2 2026 outlook and full-year guidance trajectory.</w:t>
      </w:r>
    </w:p>
    <w:p>
      <w:pPr>
        <w:pStyle w:val="Heading3"/>
      </w:pPr>
      <w:r>
        <w:rPr>
          <w:rFonts w:ascii="Calibri" w:hAnsi="Calibri"/>
          <w:b/>
          <w:color w:val="3B4259"/>
          <w:sz w:val="24"/>
        </w:rPr>
        <w:t>Agilent Technologies (A) — Q2 FY2026 Earnings (May 27, 2026)</w:t>
      </w:r>
    </w:p>
    <w:p>
      <w:r>
        <w:rPr>
          <w:rFonts w:ascii="Calibri" w:hAnsi="Calibri"/>
          <w:b/>
          <w:color w:val="525866"/>
          <w:sz w:val="22"/>
        </w:rPr>
        <w:t xml:space="preserve">Relevance to MTD: </w:t>
      </w:r>
      <w:r>
        <w:rPr>
          <w:rFonts w:ascii="Calibri" w:hAnsi="Calibri"/>
          <w:color w:val="525866"/>
          <w:sz w:val="22"/>
        </w:rPr>
        <w:t>Agilent has significant overlap in lab instruments (LC, LC/MS, GC), pharma/chemical end markets, and China. Agilent’s fiscal Q2 ended April 30, 2026 — covering the same calendar period as MTD’s Q1 2026.</w:t>
      </w:r>
    </w:p>
    <w:p>
      <w:pPr>
        <w:pStyle w:val="ListBullet"/>
        <w:ind w:left="360" w:hanging="360"/>
      </w:pPr>
      <w:r>
        <w:rPr>
          <w:rFonts w:ascii="Calibri" w:hAnsi="Calibri"/>
          <w:b/>
          <w:color w:val="525866"/>
          <w:sz w:val="22"/>
        </w:rPr>
        <w:t>Core revenue growth of +6.3% in fiscal Q2 2026</w:t>
      </w:r>
      <w:r>
        <w:rPr>
          <w:rFonts w:ascii="Calibri" w:hAnsi="Calibri"/>
          <w:color w:val="525866"/>
          <w:sz w:val="22"/>
        </w:rPr>
        <w:t xml:space="preserve">, exceeding the high end of guidance by 80bps. Broad-based strength across largest end markets. </w:t>
      </w:r>
      <w:r>
        <w:rPr>
          <w:rFonts w:ascii="Calibri" w:hAnsi="Calibri"/>
          <w:i/>
          <w:color w:val="525866"/>
          <w:sz w:val="22"/>
        </w:rPr>
        <w:t xml:space="preserve">Read-through: </w:t>
      </w:r>
      <w:r>
        <w:rPr>
          <w:rFonts w:ascii="Calibri" w:hAnsi="Calibri"/>
          <w:i/>
          <w:color w:val="525866"/>
          <w:sz w:val="22"/>
        </w:rPr>
        <w:t>Positive — suggests the lab instruments market was stronger than feared in the April quarter, a positive leading indicator for MTD’s Q2 (May–June).</w:t>
      </w:r>
    </w:p>
    <w:p>
      <w:pPr>
        <w:pStyle w:val="ListBullet"/>
        <w:ind w:left="360" w:hanging="360"/>
      </w:pPr>
      <w:r>
        <w:rPr>
          <w:rFonts w:ascii="Calibri" w:hAnsi="Calibri"/>
          <w:b/>
          <w:color w:val="525866"/>
          <w:sz w:val="22"/>
        </w:rPr>
        <w:t>Pharma grew +6% (5th consecutive quarter of mid-to-low double-digit growth)</w:t>
      </w:r>
      <w:r>
        <w:rPr>
          <w:rFonts w:ascii="Calibri" w:hAnsi="Calibri"/>
          <w:color w:val="525866"/>
          <w:sz w:val="22"/>
        </w:rPr>
        <w:t xml:space="preserve">; biotech grew low double digits for 3rd consecutive quarter. GLP-1 momentum delivering ~20% growth YTD. </w:t>
      </w:r>
      <w:r>
        <w:rPr>
          <w:rFonts w:ascii="Calibri" w:hAnsi="Calibri"/>
          <w:i/>
          <w:color w:val="525866"/>
          <w:sz w:val="22"/>
        </w:rPr>
        <w:t xml:space="preserve">Read-through: </w:t>
      </w:r>
      <w:r>
        <w:rPr>
          <w:rFonts w:ascii="Calibri" w:hAnsi="Calibri"/>
          <w:i/>
          <w:color w:val="525866"/>
          <w:sz w:val="22"/>
        </w:rPr>
        <w:t>Positive for MTD’s lab segment and bioprocessing.</w:t>
      </w:r>
    </w:p>
    <w:p>
      <w:pPr>
        <w:pStyle w:val="ListBullet"/>
        <w:ind w:left="360" w:hanging="360"/>
      </w:pPr>
      <w:r>
        <w:rPr>
          <w:rFonts w:ascii="Calibri" w:hAnsi="Calibri"/>
          <w:b/>
          <w:color w:val="525866"/>
          <w:sz w:val="22"/>
        </w:rPr>
        <w:t>Chemical and Advanced Materials grew +8%</w:t>
      </w:r>
      <w:r>
        <w:rPr>
          <w:rFonts w:ascii="Calibri" w:hAnsi="Calibri"/>
          <w:color w:val="525866"/>
          <w:sz w:val="22"/>
        </w:rPr>
        <w:t xml:space="preserve">, fueled by strong semiconductor demand and healthy chemical CapEx in Americas. Full-year CAM guidance raised to mid-to-high single digit. </w:t>
      </w:r>
      <w:r>
        <w:rPr>
          <w:rFonts w:ascii="Calibri" w:hAnsi="Calibri"/>
          <w:i/>
          <w:color w:val="525866"/>
          <w:sz w:val="22"/>
        </w:rPr>
        <w:t xml:space="preserve">Read-through: </w:t>
      </w:r>
      <w:r>
        <w:rPr>
          <w:rFonts w:ascii="Calibri" w:hAnsi="Calibri"/>
          <w:i/>
          <w:color w:val="525866"/>
          <w:sz w:val="22"/>
        </w:rPr>
        <w:t>Partially positive for MTD’s industrial segment (semiconductor/process analytics), but note MTD cited European chemical softness from Middle East energy costs — Americas strength may not fully offset.</w:t>
      </w:r>
    </w:p>
    <w:p>
      <w:pPr>
        <w:pStyle w:val="ListBullet"/>
        <w:ind w:left="360" w:hanging="360"/>
      </w:pPr>
      <w:r>
        <w:rPr>
          <w:rFonts w:ascii="Calibri" w:hAnsi="Calibri"/>
          <w:b/>
          <w:color w:val="525866"/>
          <w:sz w:val="22"/>
        </w:rPr>
        <w:t>China declined -9% in fiscal Q2</w:t>
      </w:r>
      <w:r>
        <w:rPr>
          <w:rFonts w:ascii="Calibri" w:hAnsi="Calibri"/>
          <w:color w:val="525866"/>
          <w:sz w:val="22"/>
        </w:rPr>
        <w:t xml:space="preserve"> (slightly more than expected), with academia/government soft on tightened government spending. China stimulus expected to impact orders toward year-end, revenue in early 2027. </w:t>
      </w:r>
      <w:r>
        <w:rPr>
          <w:rFonts w:ascii="Calibri" w:hAnsi="Calibri"/>
          <w:i/>
          <w:color w:val="525866"/>
          <w:sz w:val="22"/>
        </w:rPr>
        <w:t xml:space="preserve">Read-through: </w:t>
      </w:r>
      <w:r>
        <w:rPr>
          <w:rFonts w:ascii="Calibri" w:hAnsi="Calibri"/>
          <w:i/>
          <w:color w:val="525866"/>
          <w:sz w:val="22"/>
        </w:rPr>
        <w:t>Cautionary for MTD’s China lab segment; however, MTD’s China strength is concentrated in industrial (automation), not academia.</w:t>
      </w:r>
    </w:p>
    <w:p>
      <w:pPr>
        <w:pStyle w:val="ListBullet"/>
        <w:ind w:left="360" w:hanging="360"/>
      </w:pPr>
      <w:r>
        <w:rPr>
          <w:rFonts w:ascii="Calibri" w:hAnsi="Calibri"/>
          <w:b/>
          <w:color w:val="525866"/>
          <w:sz w:val="22"/>
        </w:rPr>
        <w:t>Instrument revenue grew high single digits</w:t>
      </w:r>
      <w:r>
        <w:rPr>
          <w:rFonts w:ascii="Calibri" w:hAnsi="Calibri"/>
          <w:color w:val="525866"/>
          <w:sz w:val="22"/>
        </w:rPr>
        <w:t xml:space="preserve"> with book-to-bill above 1 for 9th consecutive quarter. Replacement cycle momentum continuing. </w:t>
      </w:r>
      <w:r>
        <w:rPr>
          <w:rFonts w:ascii="Calibri" w:hAnsi="Calibri"/>
          <w:i/>
          <w:color w:val="525866"/>
          <w:sz w:val="22"/>
        </w:rPr>
        <w:t xml:space="preserve">Read-through: </w:t>
      </w:r>
      <w:r>
        <w:rPr>
          <w:rFonts w:ascii="Calibri" w:hAnsi="Calibri"/>
          <w:i/>
          <w:color w:val="525866"/>
          <w:sz w:val="22"/>
        </w:rPr>
        <w:t>Positive for MTD’s lab instruments and product inspection replacement cycle thesis.</w:t>
      </w:r>
    </w:p>
    <w:p>
      <w:pPr>
        <w:pStyle w:val="ListBullet"/>
        <w:ind w:left="360" w:hanging="360"/>
      </w:pPr>
      <w:r>
        <w:rPr>
          <w:rFonts w:ascii="Calibri" w:hAnsi="Calibri"/>
          <w:b/>
          <w:color w:val="525866"/>
          <w:sz w:val="22"/>
        </w:rPr>
        <w:t>Tariff task force achieved full mitigation of incremental tariffs by Q2</w:t>
      </w:r>
      <w:r>
        <w:rPr>
          <w:rFonts w:ascii="Calibri" w:hAnsi="Calibri"/>
          <w:color w:val="525866"/>
          <w:sz w:val="22"/>
        </w:rPr>
        <w:t xml:space="preserve"> through manufacturing moves and price adjustments. Potential tariff refunds not in guidance. </w:t>
      </w:r>
      <w:r>
        <w:rPr>
          <w:rFonts w:ascii="Calibri" w:hAnsi="Calibri"/>
          <w:i/>
          <w:color w:val="525866"/>
          <w:sz w:val="22"/>
        </w:rPr>
        <w:t xml:space="preserve">Read-through: </w:t>
      </w:r>
      <w:r>
        <w:rPr>
          <w:rFonts w:ascii="Calibri" w:hAnsi="Calibri"/>
          <w:i/>
          <w:color w:val="525866"/>
          <w:sz w:val="22"/>
        </w:rPr>
        <w:t>Positive — consistent with MTD’s own tariff mitigation strategy; potential refunds represent upside to both companies’ guidance.</w:t>
      </w:r>
    </w:p>
    <w:p>
      <w:pPr>
        <w:pStyle w:val="ListBullet"/>
        <w:ind w:left="360" w:hanging="360"/>
      </w:pPr>
      <w:r>
        <w:rPr>
          <w:rFonts w:ascii="Calibri" w:hAnsi="Calibri"/>
          <w:b/>
          <w:color w:val="525866"/>
          <w:sz w:val="22"/>
        </w:rPr>
        <w:t>Middle East conflict cited as headwind for food end market in Asia</w:t>
      </w:r>
      <w:r>
        <w:rPr>
          <w:rFonts w:ascii="Calibri" w:hAnsi="Calibri"/>
          <w:color w:val="525866"/>
          <w:sz w:val="22"/>
        </w:rPr>
        <w:t xml:space="preserve"> and inflationary pressure on chemical customers. </w:t>
      </w:r>
      <w:r>
        <w:rPr>
          <w:rFonts w:ascii="Calibri" w:hAnsi="Calibri"/>
          <w:i/>
          <w:color w:val="525866"/>
          <w:sz w:val="22"/>
        </w:rPr>
        <w:t xml:space="preserve">Read-through: </w:t>
      </w:r>
      <w:r>
        <w:rPr>
          <w:rFonts w:ascii="Calibri" w:hAnsi="Calibri"/>
          <w:i/>
          <w:color w:val="525866"/>
          <w:sz w:val="22"/>
        </w:rPr>
        <w:t>Consistent with MTD’s own commentary on Middle East energy cost inflation affecting European chemical customers.</w:t>
      </w:r>
    </w:p>
    <w:p>
      <w:pPr>
        <w:pStyle w:val="Heading3"/>
      </w:pPr>
      <w:r>
        <w:rPr>
          <w:rFonts w:ascii="Calibri" w:hAnsi="Calibri"/>
          <w:b/>
          <w:color w:val="3B4259"/>
          <w:sz w:val="24"/>
        </w:rPr>
        <w:t>Waters Corporation (WAT) — Jefferies Global Healthcare Conference (June 3, 2026)</w:t>
      </w:r>
    </w:p>
    <w:p>
      <w:r>
        <w:rPr>
          <w:rFonts w:ascii="Calibri" w:hAnsi="Calibri"/>
          <w:b/>
          <w:color w:val="525866"/>
          <w:sz w:val="22"/>
        </w:rPr>
        <w:t xml:space="preserve">Relevance to MTD: </w:t>
      </w:r>
      <w:r>
        <w:rPr>
          <w:rFonts w:ascii="Calibri" w:hAnsi="Calibri"/>
          <w:color w:val="525866"/>
          <w:sz w:val="22"/>
        </w:rPr>
        <w:t>Waters has significant overlap in lab instruments (LC, LC/MS), pharma end markets, and China. Waters’ Q1 2026 (calendar Q1) commentary at the June 3 conference covers the same period as MTD’s Q1 2026 and provides forward-looking color on Q2.</w:t>
      </w:r>
    </w:p>
    <w:p>
      <w:pPr>
        <w:pStyle w:val="ListBullet"/>
        <w:ind w:left="360" w:hanging="360"/>
      </w:pPr>
      <w:r>
        <w:rPr>
          <w:rFonts w:ascii="Calibri" w:hAnsi="Calibri"/>
          <w:b/>
          <w:color w:val="525866"/>
          <w:sz w:val="22"/>
        </w:rPr>
        <w:t>Legacy Waters business grew double digits in Q1 2026</w:t>
      </w:r>
      <w:r>
        <w:rPr>
          <w:rFonts w:ascii="Calibri" w:hAnsi="Calibri"/>
          <w:color w:val="525866"/>
          <w:sz w:val="22"/>
        </w:rPr>
        <w:t xml:space="preserve">, beating guidance by ~$60M on the top line with ~20% EPS growth. Pharma was a “standout” with mid-teens growth; high single-digit growth in US and Europe driven by large pharma replacing equipment. </w:t>
      </w:r>
      <w:r>
        <w:rPr>
          <w:rFonts w:ascii="Calibri" w:hAnsi="Calibri"/>
          <w:i/>
          <w:color w:val="525866"/>
          <w:sz w:val="22"/>
        </w:rPr>
        <w:t xml:space="preserve">Read-through: </w:t>
      </w:r>
      <w:r>
        <w:rPr>
          <w:rFonts w:ascii="Calibri" w:hAnsi="Calibri"/>
          <w:i/>
          <w:color w:val="525866"/>
          <w:sz w:val="22"/>
        </w:rPr>
        <w:t>Positive for MTD’s lab segment and pharma/biopharma replacement demand.</w:t>
      </w:r>
    </w:p>
    <w:p>
      <w:pPr>
        <w:pStyle w:val="ListBullet"/>
        <w:ind w:left="360" w:hanging="360"/>
      </w:pPr>
      <w:r>
        <w:rPr>
          <w:rFonts w:ascii="Calibri" w:hAnsi="Calibri"/>
          <w:b/>
          <w:color w:val="525866"/>
          <w:sz w:val="22"/>
        </w:rPr>
        <w:t>LC-MS replacement cycle “going very strong”</w:t>
      </w:r>
      <w:r>
        <w:rPr>
          <w:rFonts w:ascii="Calibri" w:hAnsi="Calibri"/>
          <w:color w:val="525866"/>
          <w:sz w:val="22"/>
        </w:rPr>
        <w:t xml:space="preserve"> with instruments growing high single digits. Book-to-bill above 1. New products (Alliance iS, TQ Absolute, XR, MRT) making “nice contributions.” </w:t>
      </w:r>
      <w:r>
        <w:rPr>
          <w:rFonts w:ascii="Calibri" w:hAnsi="Calibri"/>
          <w:i/>
          <w:color w:val="525866"/>
          <w:sz w:val="22"/>
        </w:rPr>
        <w:t xml:space="preserve">Read-through: </w:t>
      </w:r>
      <w:r>
        <w:rPr>
          <w:rFonts w:ascii="Calibri" w:hAnsi="Calibri"/>
          <w:i/>
          <w:color w:val="525866"/>
          <w:sz w:val="22"/>
        </w:rPr>
        <w:t>Positive for MTD’s lab instruments replacement cycle thesis.</w:t>
      </w:r>
    </w:p>
    <w:p>
      <w:pPr>
        <w:pStyle w:val="ListBullet"/>
        <w:ind w:left="360" w:hanging="360"/>
      </w:pPr>
      <w:r>
        <w:rPr>
          <w:rFonts w:ascii="Calibri" w:hAnsi="Calibri"/>
          <w:b/>
          <w:color w:val="525866"/>
          <w:sz w:val="22"/>
        </w:rPr>
        <w:t>China pharma grew over 50% in Q1 2026</w:t>
      </w:r>
      <w:r>
        <w:rPr>
          <w:rFonts w:ascii="Calibri" w:hAnsi="Calibri"/>
          <w:color w:val="525866"/>
          <w:sz w:val="22"/>
        </w:rPr>
        <w:t xml:space="preserve"> driven by local biotech, CDMOs, and local pharma. Waters described China as a “secular trend” and “leader in pharma.” Full-year China guidance at mid-single digits with expectation to reach high single digits by year-end. </w:t>
      </w:r>
      <w:r>
        <w:rPr>
          <w:rFonts w:ascii="Calibri" w:hAnsi="Calibri"/>
          <w:i/>
          <w:color w:val="525866"/>
          <w:sz w:val="22"/>
        </w:rPr>
        <w:t xml:space="preserve">Read-through: </w:t>
      </w:r>
      <w:r>
        <w:rPr>
          <w:rFonts w:ascii="Calibri" w:hAnsi="Calibri"/>
          <w:i/>
          <w:color w:val="525866"/>
          <w:sz w:val="22"/>
        </w:rPr>
        <w:t>Positive for MTD’s China industrial and lab segments; reinforces MTD’s upgraded mid-single digit China growth guidance.</w:t>
      </w:r>
    </w:p>
    <w:p>
      <w:pPr>
        <w:pStyle w:val="ListBullet"/>
        <w:ind w:left="360" w:hanging="360"/>
      </w:pPr>
      <w:r>
        <w:rPr>
          <w:rFonts w:ascii="Calibri" w:hAnsi="Calibri"/>
          <w:b/>
          <w:color w:val="525866"/>
          <w:sz w:val="22"/>
        </w:rPr>
        <w:t>Management “derisk’d the second half”</w:t>
      </w:r>
      <w:r>
        <w:rPr>
          <w:rFonts w:ascii="Calibri" w:hAnsi="Calibri"/>
          <w:color w:val="525866"/>
          <w:sz w:val="22"/>
        </w:rPr>
        <w:t xml:space="preserve"> by incorporating more prudence into H2 outlook despite strong Q1 beat. Chemistry expected to grow ~4% in Q2 (vs. high single digits in Q1) due to prior-year China pull-forward. </w:t>
      </w:r>
      <w:r>
        <w:rPr>
          <w:rFonts w:ascii="Calibri" w:hAnsi="Calibri"/>
          <w:i/>
          <w:color w:val="525866"/>
          <w:sz w:val="22"/>
        </w:rPr>
        <w:t xml:space="preserve">Read-through: </w:t>
      </w:r>
      <w:r>
        <w:rPr>
          <w:rFonts w:ascii="Calibri" w:hAnsi="Calibri"/>
          <w:i/>
          <w:color w:val="525866"/>
          <w:sz w:val="22"/>
        </w:rPr>
        <w:t>Consistent with MTD’s own cautious H1 posture; suggests Q2 may be a trough before H2 acceleration.</w:t>
      </w:r>
    </w:p>
    <w:p>
      <w:pPr>
        <w:pStyle w:val="ListBullet"/>
        <w:ind w:left="360" w:hanging="360"/>
      </w:pPr>
      <w:r>
        <w:rPr>
          <w:rFonts w:ascii="Calibri" w:hAnsi="Calibri"/>
          <w:b/>
          <w:color w:val="525866"/>
          <w:sz w:val="22"/>
        </w:rPr>
        <w:t>GLP-1 quality control breakthrough</w:t>
      </w:r>
      <w:r>
        <w:rPr>
          <w:rFonts w:ascii="Calibri" w:hAnsi="Calibri"/>
          <w:color w:val="525866"/>
          <w:sz w:val="22"/>
        </w:rPr>
        <w:t xml:space="preserve"> — first global use of Waters’ Xevo MRT high-resolution mass spec for GLP-1 QC by a large CDMO in China. Expected to drive global adoption. </w:t>
      </w:r>
      <w:r>
        <w:rPr>
          <w:rFonts w:ascii="Calibri" w:hAnsi="Calibri"/>
          <w:i/>
          <w:color w:val="525866"/>
          <w:sz w:val="22"/>
        </w:rPr>
        <w:t xml:space="preserve">Read-through: </w:t>
      </w:r>
      <w:r>
        <w:rPr>
          <w:rFonts w:ascii="Calibri" w:hAnsi="Calibri"/>
          <w:i/>
          <w:color w:val="525866"/>
          <w:sz w:val="22"/>
        </w:rPr>
        <w:t>Positive for MTD’s analytical chemistry and lab instruments businesses serving pharma QC workflows.</w:t>
      </w:r>
    </w:p>
    <w:p>
      <w:pPr>
        <w:pStyle w:val="Heading3"/>
      </w:pPr>
      <w:r>
        <w:rPr>
          <w:rFonts w:ascii="Calibri" w:hAnsi="Calibri"/>
          <w:b/>
          <w:color w:val="3B4259"/>
          <w:sz w:val="24"/>
        </w:rPr>
        <w:t>Revvity (RVTY) — Goldman Sachs Global Healthcare Conference (June 9, 2026)</w:t>
      </w:r>
    </w:p>
    <w:p>
      <w:r>
        <w:rPr>
          <w:rFonts w:ascii="Calibri" w:hAnsi="Calibri"/>
          <w:b/>
          <w:color w:val="525866"/>
          <w:sz w:val="22"/>
        </w:rPr>
        <w:t xml:space="preserve">Relevance to MTD: </w:t>
      </w:r>
      <w:r>
        <w:rPr>
          <w:rFonts w:ascii="Calibri" w:hAnsi="Calibri"/>
          <w:color w:val="525866"/>
          <w:sz w:val="22"/>
        </w:rPr>
        <w:t>Revvity has overlap in life science reagents, specialty instruments, and pharma/biotech end markets. Commentary covers Q1 2026 results and Q2 2026 outlook.</w:t>
      </w:r>
    </w:p>
    <w:p>
      <w:pPr>
        <w:pStyle w:val="ListBullet"/>
        <w:ind w:left="360" w:hanging="360"/>
      </w:pPr>
      <w:r>
        <w:rPr>
          <w:rFonts w:ascii="Calibri" w:hAnsi="Calibri"/>
          <w:b/>
          <w:color w:val="525866"/>
          <w:sz w:val="22"/>
        </w:rPr>
        <w:t>Solid Q1 2026 start with ~6% pro forma organic growth</w:t>
      </w:r>
      <w:r>
        <w:rPr>
          <w:rFonts w:ascii="Calibri" w:hAnsi="Calibri"/>
          <w:color w:val="525866"/>
          <w:sz w:val="22"/>
        </w:rPr>
        <w:t xml:space="preserve">; Q2 2026 guided to 2–3% pro forma organic growth. Full-year guidance of 3–4% pro forma organic with “no ramp-up in H2.” </w:t>
      </w:r>
      <w:r>
        <w:rPr>
          <w:rFonts w:ascii="Calibri" w:hAnsi="Calibri"/>
          <w:i/>
          <w:color w:val="525866"/>
          <w:sz w:val="22"/>
        </w:rPr>
        <w:t xml:space="preserve">Read-through: </w:t>
      </w:r>
      <w:r>
        <w:rPr>
          <w:rFonts w:ascii="Calibri" w:hAnsi="Calibri"/>
          <w:i/>
          <w:color w:val="525866"/>
          <w:sz w:val="22"/>
        </w:rPr>
        <w:t>Modestly positive — Revvity’s Q2 step-down from Q1 is consistent with MTD’s own cautious Q2 posture.</w:t>
      </w:r>
    </w:p>
    <w:p>
      <w:pPr>
        <w:pStyle w:val="ListBullet"/>
        <w:ind w:left="360" w:hanging="360"/>
      </w:pPr>
      <w:r>
        <w:rPr>
          <w:rFonts w:ascii="Calibri" w:hAnsi="Calibri"/>
          <w:b/>
          <w:color w:val="525866"/>
          <w:sz w:val="22"/>
        </w:rPr>
        <w:t>Life sciences reagents grew low single digits</w:t>
      </w:r>
      <w:r>
        <w:rPr>
          <w:rFonts w:ascii="Calibri" w:hAnsi="Calibri"/>
          <w:color w:val="525866"/>
          <w:sz w:val="22"/>
        </w:rPr>
        <w:t xml:space="preserve"> in Q1; academia and research “did well.” Biopharma/biotech funding improving, primarily directed to clinical side. </w:t>
      </w:r>
      <w:r>
        <w:rPr>
          <w:rFonts w:ascii="Calibri" w:hAnsi="Calibri"/>
          <w:i/>
          <w:color w:val="525866"/>
          <w:sz w:val="22"/>
        </w:rPr>
        <w:t xml:space="preserve">Read-through: </w:t>
      </w:r>
      <w:r>
        <w:rPr>
          <w:rFonts w:ascii="Calibri" w:hAnsi="Calibri"/>
          <w:i/>
          <w:color w:val="525866"/>
          <w:sz w:val="22"/>
        </w:rPr>
        <w:t>Positive for MTD’s lab segment; improving biotech funding supports pharma/biopharma instrument demand.</w:t>
      </w:r>
    </w:p>
    <w:p>
      <w:pPr>
        <w:pStyle w:val="ListBullet"/>
        <w:ind w:left="360" w:hanging="360"/>
      </w:pPr>
      <w:r>
        <w:rPr>
          <w:rFonts w:ascii="Calibri" w:hAnsi="Calibri"/>
          <w:b/>
          <w:color w:val="525866"/>
          <w:sz w:val="22"/>
        </w:rPr>
        <w:t>Life Sciences segment in China performed “exceedingly well”</w:t>
      </w:r>
      <w:r>
        <w:rPr>
          <w:rFonts w:ascii="Calibri" w:hAnsi="Calibri"/>
          <w:color w:val="525866"/>
          <w:sz w:val="22"/>
        </w:rPr>
        <w:t xml:space="preserve"> over the past 2.5–3 years despite a depressed market, driven by non-commoditized specialty instruments and sticky reagents. MNC pharma funding into China market increasing. </w:t>
      </w:r>
      <w:r>
        <w:rPr>
          <w:rFonts w:ascii="Calibri" w:hAnsi="Calibri"/>
          <w:i/>
          <w:color w:val="525866"/>
          <w:sz w:val="22"/>
        </w:rPr>
        <w:t xml:space="preserve">Read-through: </w:t>
      </w:r>
      <w:r>
        <w:rPr>
          <w:rFonts w:ascii="Calibri" w:hAnsi="Calibri"/>
          <w:i/>
          <w:color w:val="525866"/>
          <w:sz w:val="22"/>
        </w:rPr>
        <w:t>Positive for MTD’s China industrial and lab segments.</w:t>
      </w:r>
    </w:p>
    <w:p>
      <w:pPr>
        <w:pStyle w:val="ListBullet"/>
        <w:ind w:left="360" w:hanging="360"/>
      </w:pPr>
      <w:r>
        <w:rPr>
          <w:rFonts w:ascii="Calibri" w:hAnsi="Calibri"/>
          <w:b/>
          <w:color w:val="525866"/>
          <w:sz w:val="22"/>
        </w:rPr>
        <w:t>Academic end market “still at initial stages of recovery”</w:t>
      </w:r>
      <w:r>
        <w:rPr>
          <w:rFonts w:ascii="Calibri" w:hAnsi="Calibri"/>
          <w:color w:val="525866"/>
          <w:sz w:val="22"/>
        </w:rPr>
        <w:t xml:space="preserve"> with some nervousness subsiding. </w:t>
      </w:r>
      <w:r>
        <w:rPr>
          <w:rFonts w:ascii="Calibri" w:hAnsi="Calibri"/>
          <w:i/>
          <w:color w:val="525866"/>
          <w:sz w:val="22"/>
        </w:rPr>
        <w:t xml:space="preserve">Read-through: </w:t>
      </w:r>
      <w:r>
        <w:rPr>
          <w:rFonts w:ascii="Calibri" w:hAnsi="Calibri"/>
          <w:i/>
          <w:color w:val="525866"/>
          <w:sz w:val="22"/>
        </w:rPr>
        <w:t>Consistent with MTD’s own commentary on soft academia/biotech demand for pipettes.</w:t>
      </w:r>
    </w:p>
    <w:p>
      <w:pPr>
        <w:pStyle w:val="ListBullet"/>
        <w:ind w:left="360" w:hanging="360"/>
      </w:pPr>
      <w:r>
        <w:rPr>
          <w:rFonts w:ascii="Calibri" w:hAnsi="Calibri"/>
          <w:b/>
          <w:color w:val="525866"/>
          <w:sz w:val="22"/>
        </w:rPr>
        <w:t>Tariffs cited as one of several external policy headwinds</w:t>
      </w:r>
      <w:r>
        <w:rPr>
          <w:rFonts w:ascii="Calibri" w:hAnsi="Calibri"/>
          <w:color w:val="525866"/>
          <w:sz w:val="22"/>
        </w:rPr>
        <w:t xml:space="preserve"> that impacted pharma/biotech post-COVID, alongside MFN status changes and inflation. Increased certainty around tariffs/MFN driving initial growth recovery. </w:t>
      </w:r>
      <w:r>
        <w:rPr>
          <w:rFonts w:ascii="Calibri" w:hAnsi="Calibri"/>
          <w:i/>
          <w:color w:val="525866"/>
          <w:sz w:val="22"/>
        </w:rPr>
        <w:t xml:space="preserve">Read-through: </w:t>
      </w:r>
      <w:r>
        <w:rPr>
          <w:rFonts w:ascii="Calibri" w:hAnsi="Calibri"/>
          <w:i/>
          <w:color w:val="525866"/>
          <w:sz w:val="22"/>
        </w:rPr>
        <w:t>Positive — tariff clarity is a tailwind for customer capital spending decisions, supporting MTD’s pipeline conversion thesis.</w:t>
      </w:r>
    </w:p>
    <w:p>
      <w:pPr>
        <w:pStyle w:val="Heading3"/>
      </w:pPr>
      <w:r>
        <w:rPr>
          <w:rFonts w:ascii="Calibri" w:hAnsi="Calibri"/>
          <w:b/>
          <w:color w:val="3B4259"/>
          <w:sz w:val="24"/>
        </w:rPr>
        <w:t>Danaher (DHR) — Bank of America Global Healthcare Conference (May 13, 2026)</w:t>
      </w:r>
    </w:p>
    <w:p>
      <w:r>
        <w:rPr>
          <w:rFonts w:ascii="Calibri" w:hAnsi="Calibri"/>
          <w:b/>
          <w:color w:val="525866"/>
          <w:sz w:val="22"/>
        </w:rPr>
        <w:t xml:space="preserve">Relevance to MTD: </w:t>
      </w:r>
      <w:r>
        <w:rPr>
          <w:rFonts w:ascii="Calibri" w:hAnsi="Calibri"/>
          <w:color w:val="525866"/>
          <w:sz w:val="22"/>
        </w:rPr>
        <w:t>DHR’s BofA conference commentary (post-Q1 2026 earnings) provides early Q2 color on bioprocessing and end-market trends.</w:t>
      </w:r>
    </w:p>
    <w:p>
      <w:pPr>
        <w:pStyle w:val="ListBullet"/>
        <w:ind w:left="360" w:hanging="360"/>
      </w:pPr>
      <w:r>
        <w:rPr>
          <w:rFonts w:ascii="Calibri" w:hAnsi="Calibri"/>
          <w:b/>
          <w:color w:val="525866"/>
          <w:sz w:val="22"/>
        </w:rPr>
        <w:t>Bioprocessing market described as “robust”</w:t>
      </w:r>
      <w:r>
        <w:rPr>
          <w:rFonts w:ascii="Calibri" w:hAnsi="Calibri"/>
          <w:color w:val="525866"/>
          <w:sz w:val="22"/>
        </w:rPr>
        <w:t xml:space="preserve"> with consumables at high single digits and equipment orders growing &gt;30% YoY — “first time in nearly 2 years” of such growth. Industry “under-invested in capacity for the last 2–2.5 years.” </w:t>
      </w:r>
      <w:r>
        <w:rPr>
          <w:rFonts w:ascii="Calibri" w:hAnsi="Calibri"/>
          <w:i/>
          <w:color w:val="525866"/>
          <w:sz w:val="22"/>
        </w:rPr>
        <w:t xml:space="preserve">Read-through: </w:t>
      </w:r>
      <w:r>
        <w:rPr>
          <w:rFonts w:ascii="Calibri" w:hAnsi="Calibri"/>
          <w:i/>
          <w:color w:val="525866"/>
          <w:sz w:val="22"/>
        </w:rPr>
        <w:t>Strongly positive for MTD’s bioprocessing-related lab instruments and service revenue.</w:t>
      </w:r>
    </w:p>
    <w:p>
      <w:pPr>
        <w:pStyle w:val="ListBullet"/>
        <w:ind w:left="360" w:hanging="360"/>
      </w:pPr>
      <w:r>
        <w:rPr>
          <w:rFonts w:ascii="Calibri" w:hAnsi="Calibri"/>
          <w:b/>
          <w:color w:val="525866"/>
          <w:sz w:val="22"/>
        </w:rPr>
        <w:t>Reshoring investments in early phases</w:t>
      </w:r>
      <w:r>
        <w:rPr>
          <w:rFonts w:ascii="Calibri" w:hAnsi="Calibri"/>
          <w:color w:val="525866"/>
          <w:sz w:val="22"/>
        </w:rPr>
        <w:t xml:space="preserve"> — CDMOs (Lonza, Samsung, Celltrion) acquiring and refurbishing underutilized pharma plants. Greenfield investments “early days” but expected to provide multi-year tailwind. </w:t>
      </w:r>
      <w:r>
        <w:rPr>
          <w:rFonts w:ascii="Calibri" w:hAnsi="Calibri"/>
          <w:i/>
          <w:color w:val="525866"/>
          <w:sz w:val="22"/>
        </w:rPr>
        <w:t xml:space="preserve">Read-through: </w:t>
      </w:r>
      <w:r>
        <w:rPr>
          <w:rFonts w:ascii="Calibri" w:hAnsi="Calibri"/>
          <w:i/>
          <w:color w:val="525866"/>
          <w:sz w:val="22"/>
        </w:rPr>
        <w:t>Positive for MTD’s onshoring opportunity (management guided as a 2027+ driver).</w:t>
      </w:r>
    </w:p>
    <w:p>
      <w:pPr>
        <w:pStyle w:val="ListBullet"/>
        <w:ind w:left="360" w:hanging="360"/>
      </w:pPr>
      <w:r>
        <w:rPr>
          <w:rFonts w:ascii="Calibri" w:hAnsi="Calibri"/>
          <w:b/>
          <w:color w:val="525866"/>
          <w:sz w:val="22"/>
        </w:rPr>
        <w:t>Life Science instrument order book “moved quite nicely” in Q1</w:t>
      </w:r>
      <w:r>
        <w:rPr>
          <w:rFonts w:ascii="Calibri" w:hAnsi="Calibri"/>
          <w:color w:val="525866"/>
          <w:sz w:val="22"/>
        </w:rPr>
        <w:t xml:space="preserve"> driven by pharma, clinical, and applied markets, with “pockets of academic/government showing a little bit of life.” </w:t>
      </w:r>
      <w:r>
        <w:rPr>
          <w:rFonts w:ascii="Calibri" w:hAnsi="Calibri"/>
          <w:i/>
          <w:color w:val="525866"/>
          <w:sz w:val="22"/>
        </w:rPr>
        <w:t xml:space="preserve">Read-through: </w:t>
      </w:r>
      <w:r>
        <w:rPr>
          <w:rFonts w:ascii="Calibri" w:hAnsi="Calibri"/>
          <w:i/>
          <w:color w:val="525866"/>
          <w:sz w:val="22"/>
        </w:rPr>
        <w:t>Positive for MTD’s lab instruments pipeline conversion thesis.</w:t>
      </w:r>
    </w:p>
    <w:p>
      <w:pPr>
        <w:pStyle w:val="ListBullet"/>
        <w:ind w:left="360" w:hanging="360"/>
      </w:pPr>
      <w:r>
        <w:rPr>
          <w:rFonts w:ascii="Calibri" w:hAnsi="Calibri"/>
          <w:b/>
          <w:color w:val="525866"/>
          <w:sz w:val="22"/>
        </w:rPr>
        <w:t>China VBP “as expected”</w:t>
      </w:r>
      <w:r>
        <w:rPr>
          <w:rFonts w:ascii="Calibri" w:hAnsi="Calibri"/>
          <w:color w:val="525866"/>
          <w:sz w:val="22"/>
        </w:rPr>
        <w:t xml:space="preserve"> with patient volumes higher than expected — a positive surprise. Sequential improvement in comping out of VBP dynamics. </w:t>
      </w:r>
      <w:r>
        <w:rPr>
          <w:rFonts w:ascii="Calibri" w:hAnsi="Calibri"/>
          <w:i/>
          <w:color w:val="525866"/>
          <w:sz w:val="22"/>
        </w:rPr>
        <w:t xml:space="preserve">Read-through: </w:t>
      </w:r>
      <w:r>
        <w:rPr>
          <w:rFonts w:ascii="Calibri" w:hAnsi="Calibri"/>
          <w:i/>
          <w:color w:val="525866"/>
          <w:sz w:val="22"/>
        </w:rPr>
        <w:t>Positive for MTD’s China industrial and lab segments.</w:t>
      </w:r>
    </w:p>
    <w:p>
      <w:pPr>
        <w:pStyle w:val="ListBullet"/>
        <w:ind w:left="360" w:hanging="360"/>
      </w:pPr>
      <w:r>
        <w:rPr>
          <w:rFonts w:ascii="Calibri" w:hAnsi="Calibri"/>
          <w:b/>
          <w:color w:val="525866"/>
          <w:sz w:val="22"/>
        </w:rPr>
        <w:t>Full-year organic growth guide of 3–6%</w:t>
      </w:r>
      <w:r>
        <w:rPr>
          <w:rFonts w:ascii="Calibri" w:hAnsi="Calibri"/>
          <w:color w:val="525866"/>
          <w:sz w:val="22"/>
        </w:rPr>
        <w:t xml:space="preserve"> anchored to low end, with 2% organic in Q2 and mid-single digits in H2. Over 300bps of headwinds retiring from H1 to H2. </w:t>
      </w:r>
      <w:r>
        <w:rPr>
          <w:rFonts w:ascii="Calibri" w:hAnsi="Calibri"/>
          <w:i/>
          <w:color w:val="525866"/>
          <w:sz w:val="22"/>
        </w:rPr>
        <w:t xml:space="preserve">Read-through: </w:t>
      </w:r>
      <w:r>
        <w:rPr>
          <w:rFonts w:ascii="Calibri" w:hAnsi="Calibri"/>
          <w:i/>
          <w:color w:val="525866"/>
          <w:sz w:val="22"/>
        </w:rPr>
        <w:t>Consistent with MTD’s own H2 acceleration thesis.</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MTD Implication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Pharma/Biotech Demand</w:t>
            </w:r>
          </w:p>
        </w:tc>
        <w:tc>
          <w:tcPr>
            <w:tcW w:type="dxa" w:w="2160"/>
          </w:tcPr>
          <w:p>
            <w:r>
              <w:rPr>
                <w:rFonts w:ascii="Calibri" w:hAnsi="Calibri"/>
                <w:sz w:val="22"/>
              </w:rPr>
              <w:t>TMO mid-SD, DHR strengthening, A +6%, WAT mid-teens</w:t>
            </w:r>
          </w:p>
        </w:tc>
        <w:tc>
          <w:tcPr>
            <w:tcW w:type="dxa" w:w="2160"/>
          </w:tcPr>
          <w:p>
            <w:r>
              <w:rPr>
                <w:rFonts w:ascii="Calibri" w:hAnsi="Calibri"/>
                <w:sz w:val="22"/>
              </w:rPr>
              <w:t>Lab segment upside; bioprocessing momentum</w:t>
            </w:r>
          </w:p>
        </w:tc>
        <w:tc>
          <w:tcPr>
            <w:tcW w:type="dxa" w:w="2160"/>
          </w:tcPr>
          <w:p>
            <w:r>
              <w:rPr>
                <w:rFonts w:ascii="Calibri" w:hAnsi="Calibri"/>
                <w:b/>
                <w:color w:val="30A46C"/>
                <w:sz w:val="22"/>
              </w:rPr>
              <w:t>Positive</w:t>
            </w:r>
          </w:p>
        </w:tc>
      </w:tr>
      <w:tr>
        <w:tc>
          <w:tcPr>
            <w:tcW w:type="dxa" w:w="2160"/>
          </w:tcPr>
          <w:p>
            <w:r>
              <w:rPr>
                <w:rFonts w:ascii="Calibri" w:hAnsi="Calibri"/>
                <w:sz w:val="22"/>
              </w:rPr>
              <w:t>China Industrial</w:t>
            </w:r>
          </w:p>
        </w:tc>
        <w:tc>
          <w:tcPr>
            <w:tcW w:type="dxa" w:w="2160"/>
          </w:tcPr>
          <w:p>
            <w:r>
              <w:rPr>
                <w:rFonts w:ascii="Calibri" w:hAnsi="Calibri"/>
                <w:sz w:val="22"/>
              </w:rPr>
              <w:t>TMO low-SD, DHR mid-SD, WAT high-SD pharma</w:t>
            </w:r>
          </w:p>
        </w:tc>
        <w:tc>
          <w:tcPr>
            <w:tcW w:type="dxa" w:w="2160"/>
          </w:tcPr>
          <w:p>
            <w:r>
              <w:rPr>
                <w:rFonts w:ascii="Calibri" w:hAnsi="Calibri"/>
                <w:sz w:val="22"/>
              </w:rPr>
              <w:t>Supports MTD mid-SD China FY guide</w:t>
            </w:r>
          </w:p>
        </w:tc>
        <w:tc>
          <w:tcPr>
            <w:tcW w:type="dxa" w:w="2160"/>
          </w:tcPr>
          <w:p>
            <w:r>
              <w:rPr>
                <w:rFonts w:ascii="Calibri" w:hAnsi="Calibri"/>
                <w:b/>
                <w:color w:val="30A46C"/>
                <w:sz w:val="22"/>
              </w:rPr>
              <w:t>Positive</w:t>
            </w:r>
          </w:p>
        </w:tc>
      </w:tr>
      <w:tr>
        <w:tc>
          <w:tcPr>
            <w:tcW w:type="dxa" w:w="2160"/>
          </w:tcPr>
          <w:p>
            <w:r>
              <w:rPr>
                <w:rFonts w:ascii="Calibri" w:hAnsi="Calibri"/>
                <w:sz w:val="22"/>
              </w:rPr>
              <w:t>Academia/Government</w:t>
            </w:r>
          </w:p>
        </w:tc>
        <w:tc>
          <w:tcPr>
            <w:tcW w:type="dxa" w:w="2160"/>
          </w:tcPr>
          <w:p>
            <w:r>
              <w:rPr>
                <w:rFonts w:ascii="Calibri" w:hAnsi="Calibri"/>
                <w:sz w:val="22"/>
              </w:rPr>
              <w:t>TMO low-SD (improving), DHR stabilized, RVTY early recovery</w:t>
            </w:r>
          </w:p>
        </w:tc>
        <w:tc>
          <w:tcPr>
            <w:tcW w:type="dxa" w:w="2160"/>
          </w:tcPr>
          <w:p>
            <w:r>
              <w:rPr>
                <w:rFonts w:ascii="Calibri" w:hAnsi="Calibri"/>
                <w:sz w:val="22"/>
              </w:rPr>
              <w:t>Pipette weakness may ease; not a tailwind yet</w:t>
            </w:r>
          </w:p>
        </w:tc>
        <w:tc>
          <w:tcPr>
            <w:tcW w:type="dxa" w:w="2160"/>
          </w:tcPr>
          <w:p>
            <w:r>
              <w:rPr>
                <w:rFonts w:ascii="Calibri" w:hAnsi="Calibri"/>
                <w:b/>
                <w:color w:val="002FA7"/>
                <w:sz w:val="22"/>
              </w:rPr>
              <w:t>Neutral</w:t>
            </w:r>
          </w:p>
        </w:tc>
      </w:tr>
      <w:tr>
        <w:tc>
          <w:tcPr>
            <w:tcW w:type="dxa" w:w="2160"/>
          </w:tcPr>
          <w:p>
            <w:r>
              <w:rPr>
                <w:rFonts w:ascii="Calibri" w:hAnsi="Calibri"/>
                <w:sz w:val="22"/>
              </w:rPr>
              <w:t>Lab Instrument Replacement Cycle</w:t>
            </w:r>
          </w:p>
        </w:tc>
        <w:tc>
          <w:tcPr>
            <w:tcW w:type="dxa" w:w="2160"/>
          </w:tcPr>
          <w:p>
            <w:r>
              <w:rPr>
                <w:rFonts w:ascii="Calibri" w:hAnsi="Calibri"/>
                <w:sz w:val="22"/>
              </w:rPr>
              <w:t>A high-SD instruments, WAT high-SD, book-to-bill &gt;1</w:t>
            </w:r>
          </w:p>
        </w:tc>
        <w:tc>
          <w:tcPr>
            <w:tcW w:type="dxa" w:w="2160"/>
          </w:tcPr>
          <w:p>
            <w:r>
              <w:rPr>
                <w:rFonts w:ascii="Calibri" w:hAnsi="Calibri"/>
                <w:sz w:val="22"/>
              </w:rPr>
              <w:t>Supports MTD’s aging installed base replacement thesis</w:t>
            </w:r>
          </w:p>
        </w:tc>
        <w:tc>
          <w:tcPr>
            <w:tcW w:type="dxa" w:w="2160"/>
          </w:tcPr>
          <w:p>
            <w:r>
              <w:rPr>
                <w:rFonts w:ascii="Calibri" w:hAnsi="Calibri"/>
                <w:b/>
                <w:color w:val="30A46C"/>
                <w:sz w:val="22"/>
              </w:rPr>
              <w:t>Positive</w:t>
            </w:r>
          </w:p>
        </w:tc>
      </w:tr>
      <w:tr>
        <w:tc>
          <w:tcPr>
            <w:tcW w:type="dxa" w:w="2160"/>
          </w:tcPr>
          <w:p>
            <w:r>
              <w:rPr>
                <w:rFonts w:ascii="Calibri" w:hAnsi="Calibri"/>
                <w:sz w:val="22"/>
              </w:rPr>
              <w:t>Chemical End Markets</w:t>
            </w:r>
          </w:p>
        </w:tc>
        <w:tc>
          <w:tcPr>
            <w:tcW w:type="dxa" w:w="2160"/>
          </w:tcPr>
          <w:p>
            <w:r>
              <w:rPr>
                <w:rFonts w:ascii="Calibri" w:hAnsi="Calibri"/>
                <w:sz w:val="22"/>
              </w:rPr>
              <w:t>A CAM +8% (Americas/semis strong); Middle East headwind for food/Asia</w:t>
            </w:r>
          </w:p>
        </w:tc>
        <w:tc>
          <w:tcPr>
            <w:tcW w:type="dxa" w:w="2160"/>
          </w:tcPr>
          <w:p>
            <w:r>
              <w:rPr>
                <w:rFonts w:ascii="Calibri" w:hAnsi="Calibri"/>
                <w:sz w:val="22"/>
              </w:rPr>
              <w:t>Americas/semis positive; European chemical still soft</w:t>
            </w:r>
          </w:p>
        </w:tc>
        <w:tc>
          <w:tcPr>
            <w:tcW w:type="dxa" w:w="2160"/>
          </w:tcPr>
          <w:p>
            <w:r>
              <w:rPr>
                <w:rFonts w:ascii="Calibri" w:hAnsi="Calibri"/>
                <w:b/>
                <w:color w:val="002FA7"/>
                <w:sz w:val="22"/>
              </w:rPr>
              <w:t>Mixed</w:t>
            </w:r>
          </w:p>
        </w:tc>
      </w:tr>
      <w:tr>
        <w:tc>
          <w:tcPr>
            <w:tcW w:type="dxa" w:w="2160"/>
          </w:tcPr>
          <w:p>
            <w:r>
              <w:rPr>
                <w:rFonts w:ascii="Calibri" w:hAnsi="Calibri"/>
                <w:sz w:val="22"/>
              </w:rPr>
              <w:t>Bioprocessing Orders</w:t>
            </w:r>
          </w:p>
        </w:tc>
        <w:tc>
          <w:tcPr>
            <w:tcW w:type="dxa" w:w="2160"/>
          </w:tcPr>
          <w:p>
            <w:r>
              <w:rPr>
                <w:rFonts w:ascii="Calibri" w:hAnsi="Calibri"/>
                <w:sz w:val="22"/>
              </w:rPr>
              <w:t>DHR equipment orders &gt;30% YoY; mid-teens consumable orders</w:t>
            </w:r>
          </w:p>
        </w:tc>
        <w:tc>
          <w:tcPr>
            <w:tcW w:type="dxa" w:w="2160"/>
          </w:tcPr>
          <w:p>
            <w:r>
              <w:rPr>
                <w:rFonts w:ascii="Calibri" w:hAnsi="Calibri"/>
                <w:sz w:val="22"/>
              </w:rPr>
              <w:t>Positive for MTD’s bioprocessing lab instruments</w:t>
            </w:r>
          </w:p>
        </w:tc>
        <w:tc>
          <w:tcPr>
            <w:tcW w:type="dxa" w:w="2160"/>
          </w:tcPr>
          <w:p>
            <w:r>
              <w:rPr>
                <w:rFonts w:ascii="Calibri" w:hAnsi="Calibri"/>
                <w:b/>
                <w:color w:val="30A46C"/>
                <w:sz w:val="22"/>
              </w:rPr>
              <w:t>Positive</w:t>
            </w:r>
          </w:p>
        </w:tc>
      </w:tr>
      <w:tr>
        <w:tc>
          <w:tcPr>
            <w:tcW w:type="dxa" w:w="2160"/>
          </w:tcPr>
          <w:p>
            <w:r>
              <w:rPr>
                <w:rFonts w:ascii="Calibri" w:hAnsi="Calibri"/>
                <w:sz w:val="22"/>
              </w:rPr>
              <w:t>Tariff Mitigation</w:t>
            </w:r>
          </w:p>
        </w:tc>
        <w:tc>
          <w:tcPr>
            <w:tcW w:type="dxa" w:w="2160"/>
          </w:tcPr>
          <w:p>
            <w:r>
              <w:rPr>
                <w:rFonts w:ascii="Calibri" w:hAnsi="Calibri"/>
                <w:sz w:val="22"/>
              </w:rPr>
              <w:t>A achieved full mitigation in Q2; potential refunds upside</w:t>
            </w:r>
          </w:p>
        </w:tc>
        <w:tc>
          <w:tcPr>
            <w:tcW w:type="dxa" w:w="2160"/>
          </w:tcPr>
          <w:p>
            <w:r>
              <w:rPr>
                <w:rFonts w:ascii="Calibri" w:hAnsi="Calibri"/>
                <w:sz w:val="22"/>
              </w:rPr>
              <w:t>Consistent with MTD strategy; refunds = upside</w:t>
            </w:r>
          </w:p>
        </w:tc>
        <w:tc>
          <w:tcPr>
            <w:tcW w:type="dxa" w:w="2160"/>
          </w:tcPr>
          <w:p>
            <w:r>
              <w:rPr>
                <w:rFonts w:ascii="Calibri" w:hAnsi="Calibri"/>
                <w:b/>
                <w:color w:val="30A46C"/>
                <w:sz w:val="22"/>
              </w:rPr>
              <w:t>Positive</w:t>
            </w:r>
          </w:p>
        </w:tc>
      </w:tr>
      <w:tr>
        <w:tc>
          <w:tcPr>
            <w:tcW w:type="dxa" w:w="2160"/>
          </w:tcPr>
          <w:p>
            <w:r>
              <w:rPr>
                <w:rFonts w:ascii="Calibri" w:hAnsi="Calibri"/>
                <w:sz w:val="22"/>
              </w:rPr>
              <w:t>Reshoring/Onshoring</w:t>
            </w:r>
          </w:p>
        </w:tc>
        <w:tc>
          <w:tcPr>
            <w:tcW w:type="dxa" w:w="2160"/>
          </w:tcPr>
          <w:p>
            <w:r>
              <w:rPr>
                <w:rFonts w:ascii="Calibri" w:hAnsi="Calibri"/>
                <w:sz w:val="22"/>
              </w:rPr>
              <w:t>DHR early innings; A initial orders expected end of FY</w:t>
            </w:r>
          </w:p>
        </w:tc>
        <w:tc>
          <w:tcPr>
            <w:tcW w:type="dxa" w:w="2160"/>
          </w:tcPr>
          <w:p>
            <w:r>
              <w:rPr>
                <w:rFonts w:ascii="Calibri" w:hAnsi="Calibri"/>
                <w:sz w:val="22"/>
              </w:rPr>
              <w:t>MTD guided as 2027+ driver; not in 2026 numbers</w:t>
            </w:r>
          </w:p>
        </w:tc>
        <w:tc>
          <w:tcPr>
            <w:tcW w:type="dxa" w:w="2160"/>
          </w:tcPr>
          <w:p>
            <w:r>
              <w:rPr>
                <w:rFonts w:ascii="Calibri" w:hAnsi="Calibri"/>
                <w:b/>
                <w:color w:val="002FA7"/>
                <w:sz w:val="22"/>
              </w:rPr>
              <w:t>Neutral/Future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strongly constructive peer read-through from TMO and DHR Q2 2026 results</w:t>
      </w:r>
      <w:r>
        <w:rPr>
          <w:rFonts w:ascii="Calibri" w:hAnsi="Calibri"/>
          <w:color w:val="525866"/>
          <w:sz w:val="22"/>
        </w:rPr>
        <w:t xml:space="preserve"> (both reported in the week of July 21–23), which directly validates MTD’s key end-market assumptions (pharma/biotech recovery, China industrial, bioprocessing demand). The executive compensation restructuring (May 13) is a minor governance item with no financial guidance impact.</w:t>
      </w:r>
    </w:p>
    <w:p>
      <w:pPr>
        <w:pStyle w:val="ListBullet"/>
        <w:ind w:left="360" w:hanging="360"/>
      </w:pPr>
      <w:r>
        <w:rPr>
          <w:rFonts w:ascii="Calibri" w:hAnsi="Calibri"/>
          <w:b/>
          <w:color w:val="525866"/>
          <w:sz w:val="22"/>
        </w:rPr>
        <w:t xml:space="preserve">July 23, 2026 — TMO Q2 2026 Earnings Beat: </w:t>
      </w:r>
      <w:r>
        <w:rPr>
          <w:rFonts w:ascii="Calibri" w:hAnsi="Calibri"/>
          <w:color w:val="525866"/>
          <w:sz w:val="22"/>
        </w:rPr>
        <w:t xml:space="preserve">Thermo Fisher reported Q2 2026 revenue of $11.99B (+10% reported, +5% organic), beating consensus. Full-year organic growth guidance raised to ~4% (upper end of 3–4% range). Pharma/biotech mid-SD growth, China low-SD growth, academic/government low-SD growth. </w:t>
      </w:r>
      <w:r>
        <w:rPr>
          <w:rFonts w:ascii="Calibri" w:hAnsi="Calibri"/>
          <w:i/>
          <w:color w:val="525866"/>
          <w:sz w:val="22"/>
        </w:rPr>
        <w:t xml:space="preserve">Implication: </w:t>
      </w:r>
      <w:r>
        <w:rPr>
          <w:rFonts w:ascii="Calibri" w:hAnsi="Calibri"/>
          <w:i/>
          <w:color w:val="525866"/>
          <w:sz w:val="22"/>
        </w:rPr>
        <w:t>Strongest positive read-through for MTD; validates lab and industrial end-market recovery thesis.</w:t>
      </w:r>
    </w:p>
    <w:p>
      <w:pPr>
        <w:pStyle w:val="ListBullet"/>
        <w:ind w:left="360" w:hanging="360"/>
      </w:pPr>
      <w:r>
        <w:rPr>
          <w:rFonts w:ascii="Calibri" w:hAnsi="Calibri"/>
          <w:b/>
          <w:color w:val="525866"/>
          <w:sz w:val="22"/>
        </w:rPr>
        <w:t xml:space="preserve">July 21, 2026 — DHR Q2 2026 Earnings Beat: </w:t>
      </w:r>
      <w:r>
        <w:rPr>
          <w:rFonts w:ascii="Calibri" w:hAnsi="Calibri"/>
          <w:color w:val="525866"/>
          <w:sz w:val="22"/>
        </w:rPr>
        <w:t xml:space="preserve">Danaher reported Q2 2026 sales of $6.3B with core revenue +3% (+4.5% ex-respiratory), a 150bps acceleration from Q1. Life sciences businesses delivered “strongest quarter in several years.” Bioprocessing equipment orders grew mid-teens despite ~$50–60M of large resin shipment timing slippage. </w:t>
      </w:r>
      <w:r>
        <w:rPr>
          <w:rFonts w:ascii="Calibri" w:hAnsi="Calibri"/>
          <w:i/>
          <w:color w:val="525866"/>
          <w:sz w:val="22"/>
        </w:rPr>
        <w:t xml:space="preserve">Implication: </w:t>
      </w:r>
      <w:r>
        <w:rPr>
          <w:rFonts w:ascii="Calibri" w:hAnsi="Calibri"/>
          <w:i/>
          <w:color w:val="525866"/>
          <w:sz w:val="22"/>
        </w:rPr>
        <w:t>Positive read-through for MTD’s bioprocessing lab instruments and China industrial segments.</w:t>
      </w:r>
    </w:p>
    <w:p>
      <w:pPr>
        <w:pStyle w:val="ListBullet"/>
        <w:ind w:left="360" w:hanging="360"/>
      </w:pPr>
      <w:r>
        <w:rPr>
          <w:rFonts w:ascii="Calibri" w:hAnsi="Calibri"/>
          <w:b/>
          <w:color w:val="525866"/>
          <w:sz w:val="22"/>
        </w:rPr>
        <w:t xml:space="preserve">July 6, 2026 — MTD Announces Q2 2026 Earnings Conference Call: </w:t>
      </w:r>
      <w:r>
        <w:rPr>
          <w:rFonts w:ascii="Calibri" w:hAnsi="Calibri"/>
          <w:color w:val="525866"/>
          <w:sz w:val="22"/>
        </w:rPr>
        <w:t xml:space="preserve">Mettler-Toledo announced it will host a Q2 2026 earnings conference call (date TBD as of July 29, 2026). </w:t>
      </w:r>
      <w:r>
        <w:rPr>
          <w:rFonts w:ascii="Calibri" w:hAnsi="Calibri"/>
          <w:i/>
          <w:color w:val="525866"/>
          <w:sz w:val="22"/>
        </w:rPr>
        <w:t xml:space="preserve">Implication: </w:t>
      </w:r>
      <w:r>
        <w:rPr>
          <w:rFonts w:ascii="Calibri" w:hAnsi="Calibri"/>
          <w:i/>
          <w:color w:val="525866"/>
          <w:sz w:val="22"/>
        </w:rPr>
        <w:t>Confirms Q2 results are imminent; no pre-announcement or guidance update issued alongside the announcement.</w:t>
      </w:r>
    </w:p>
    <w:p>
      <w:pPr>
        <w:pStyle w:val="ListBullet"/>
        <w:ind w:left="360" w:hanging="360"/>
      </w:pPr>
      <w:r>
        <w:rPr>
          <w:rFonts w:ascii="Calibri" w:hAnsi="Calibri"/>
          <w:b/>
          <w:color w:val="525866"/>
          <w:sz w:val="22"/>
        </w:rPr>
        <w:t xml:space="preserve">May 27, 2026 — Agilent Q2 FY2026 Earnings Beat: </w:t>
      </w:r>
      <w:r>
        <w:rPr>
          <w:rFonts w:ascii="Calibri" w:hAnsi="Calibri"/>
          <w:color w:val="525866"/>
          <w:sz w:val="22"/>
        </w:rPr>
        <w:t xml:space="preserve">Agilent reported fiscal Q2 revenue of $1.83B (+6.3% core), beating guidance by 80bps. Pharma +6%, CAM +8%, instruments high-SD. Full-year core growth guidance raised by 30bps at midpoint. Tariff task force achieved full mitigation. </w:t>
      </w:r>
      <w:r>
        <w:rPr>
          <w:rFonts w:ascii="Calibri" w:hAnsi="Calibri"/>
          <w:i/>
          <w:color w:val="525866"/>
          <w:sz w:val="22"/>
        </w:rPr>
        <w:t xml:space="preserve">Implication: </w:t>
      </w:r>
      <w:r>
        <w:rPr>
          <w:rFonts w:ascii="Calibri" w:hAnsi="Calibri"/>
          <w:i/>
          <w:color w:val="525866"/>
          <w:sz w:val="22"/>
        </w:rPr>
        <w:t>Positive read-through for MTD’s lab instruments and pharma end markets.</w:t>
      </w:r>
    </w:p>
    <w:p>
      <w:pPr>
        <w:pStyle w:val="ListBullet"/>
        <w:ind w:left="360" w:hanging="360"/>
      </w:pPr>
      <w:r>
        <w:rPr>
          <w:rFonts w:ascii="Calibri" w:hAnsi="Calibri"/>
          <w:b/>
          <w:color w:val="525866"/>
          <w:sz w:val="22"/>
        </w:rPr>
        <w:t xml:space="preserve">May 13, 2026 — MTD Executive Compensation Restructuring (8-K): </w:t>
      </w:r>
      <w:r>
        <w:rPr>
          <w:rFonts w:ascii="Calibri" w:hAnsi="Calibri"/>
          <w:color w:val="525866"/>
          <w:sz w:val="22"/>
        </w:rPr>
        <w:t xml:space="preserve">Mettler-Toledo filed an 8-K disclosing alterations to executive compensation structure, increasing long-term incentive (LTI) targets. No financial guidance change. </w:t>
      </w:r>
      <w:r>
        <w:rPr>
          <w:rFonts w:ascii="Calibri" w:hAnsi="Calibri"/>
          <w:i/>
          <w:color w:val="525866"/>
          <w:sz w:val="22"/>
        </w:rPr>
        <w:t xml:space="preserve">Implication: </w:t>
      </w:r>
      <w:r>
        <w:rPr>
          <w:rFonts w:ascii="Calibri" w:hAnsi="Calibri"/>
          <w:i/>
          <w:color w:val="525866"/>
          <w:sz w:val="22"/>
        </w:rPr>
        <w:t>Minor governance item; increased LTI targets may signal management confidence in long-term value creation, but no near-term financial impact.</w:t>
      </w:r>
    </w:p>
    <w:p>
      <w:pPr>
        <w:pStyle w:val="ListBullet"/>
        <w:ind w:left="360" w:hanging="360"/>
      </w:pPr>
      <w:r>
        <w:rPr>
          <w:rFonts w:ascii="Calibri" w:hAnsi="Calibri"/>
          <w:b/>
          <w:color w:val="525866"/>
          <w:sz w:val="22"/>
        </w:rPr>
        <w:t xml:space="preserve">May 11, 2026 — MTD Annual Meeting (8-K): </w:t>
      </w:r>
      <w:r>
        <w:rPr>
          <w:rFonts w:ascii="Calibri" w:hAnsi="Calibri"/>
          <w:color w:val="525866"/>
          <w:sz w:val="22"/>
        </w:rPr>
        <w:t xml:space="preserve">Shareholders approved all proposals at the Annual Meeting. </w:t>
      </w:r>
      <w:r>
        <w:rPr>
          <w:rFonts w:ascii="Calibri" w:hAnsi="Calibri"/>
          <w:i/>
          <w:color w:val="525866"/>
          <w:sz w:val="22"/>
        </w:rPr>
        <w:t xml:space="preserve">Implication: </w:t>
      </w:r>
      <w:r>
        <w:rPr>
          <w:rFonts w:ascii="Calibri" w:hAnsi="Calibri"/>
          <w:i/>
          <w:color w:val="525866"/>
          <w:sz w:val="22"/>
        </w:rPr>
        <w:t>Routine governance; no material financial impact.</w:t>
      </w:r>
    </w:p>
    <w:p>
      <w:pPr>
        <w:pStyle w:val="ListBullet"/>
        <w:ind w:left="360" w:hanging="360"/>
      </w:pPr>
      <w:r>
        <w:rPr>
          <w:rFonts w:ascii="Calibri" w:hAnsi="Calibri"/>
          <w:b/>
          <w:color w:val="525866"/>
          <w:sz w:val="22"/>
        </w:rPr>
        <w:t xml:space="preserve">May 7, 2026 — MTD Q1 2026 Earnings (Baseline): </w:t>
      </w:r>
      <w:r>
        <w:rPr>
          <w:rFonts w:ascii="Calibri" w:hAnsi="Calibri"/>
          <w:color w:val="525866"/>
          <w:sz w:val="22"/>
        </w:rPr>
        <w:t xml:space="preserve">Beat on revenue (+0.6% vs. consensus) and adjusted EPS (+2.5% vs. consensus). Q2 adjusted EPS guidance of $10.70–$10.85 came in below consensus (~$11.00 pre-print), triggering a -14.8% gap-down in the stock. Full-year adjusted EPS guidance raised to $46.30–$46.95 (from prior $45.50–$46.20). </w:t>
      </w:r>
      <w:r>
        <w:rPr>
          <w:rFonts w:ascii="Calibri" w:hAnsi="Calibri"/>
          <w:i/>
          <w:color w:val="525866"/>
          <w:sz w:val="22"/>
        </w:rPr>
        <w:t xml:space="preserve">Implication: </w:t>
      </w:r>
      <w:r>
        <w:rPr>
          <w:rFonts w:ascii="Calibri" w:hAnsi="Calibri"/>
          <w:i/>
          <w:color w:val="525866"/>
          <w:sz w:val="22"/>
        </w:rPr>
        <w:t>Sets the baseline for Q2 expectations; the Q2 guidance miss vs. pre-print consensus is the primary reason for the stock’s underperformance since May 7.</w:t>
      </w:r>
    </w:p>
    <w:p>
      <w:pPr>
        <w:pStyle w:val="ListBullet"/>
        <w:ind w:left="360" w:hanging="360"/>
      </w:pPr>
      <w:r>
        <w:rPr>
          <w:rFonts w:ascii="Calibri" w:hAnsi="Calibri"/>
          <w:b/>
          <w:color w:val="525866"/>
          <w:sz w:val="22"/>
        </w:rPr>
        <w:t xml:space="preserve">Ongoing — Middle East Conflict / Energy Cost Inflation: </w:t>
      </w:r>
      <w:r>
        <w:rPr>
          <w:rFonts w:ascii="Calibri" w:hAnsi="Calibri"/>
          <w:color w:val="525866"/>
          <w:sz w:val="22"/>
        </w:rPr>
        <w:t xml:space="preserve">MTD management cited higher global energy costs from the Middle East conflict as a new headwind affecting European chemical customers and increasing input cost inflation. Specialty chemicals represent a low double-digit percentage of MTD’s global revenue. </w:t>
      </w:r>
      <w:r>
        <w:rPr>
          <w:rFonts w:ascii="Calibri" w:hAnsi="Calibri"/>
          <w:i/>
          <w:color w:val="525866"/>
          <w:sz w:val="22"/>
        </w:rPr>
        <w:t xml:space="preserve">Implication: </w:t>
      </w:r>
      <w:r>
        <w:rPr>
          <w:rFonts w:ascii="Calibri" w:hAnsi="Calibri"/>
          <w:i/>
          <w:color w:val="525866"/>
          <w:sz w:val="22"/>
        </w:rPr>
        <w:t>Ongoing headwind for European industrial segment; management has incorporated higher inflationary costs into guidance but sees potential pricing upside in H2.</w:t>
      </w:r>
    </w:p>
    <w:p>
      <w:pPr>
        <w:pStyle w:val="ListBullet"/>
        <w:ind w:left="360" w:hanging="360"/>
      </w:pPr>
      <w:r>
        <w:rPr>
          <w:rFonts w:ascii="Calibri" w:hAnsi="Calibri"/>
          <w:b/>
          <w:color w:val="525866"/>
          <w:sz w:val="22"/>
        </w:rPr>
        <w:t xml:space="preserve">Ongoing — Tariff Environment: </w:t>
      </w:r>
      <w:r>
        <w:rPr>
          <w:rFonts w:ascii="Calibri" w:hAnsi="Calibri"/>
          <w:color w:val="525866"/>
          <w:sz w:val="22"/>
        </w:rPr>
        <w:t xml:space="preserve">MTD’s guidance assumes H1 benefit from lower February tariff rates reverting to prior IEEPA-equivalent levels by mid-year. Potential tariff refunds from the U.S. government (benefiting COGS) and to customers (reducing sales) are excluded from guidance. Agilent achieved full tariff mitigation in Q2. </w:t>
      </w:r>
      <w:r>
        <w:rPr>
          <w:rFonts w:ascii="Calibri" w:hAnsi="Calibri"/>
          <w:i/>
          <w:color w:val="525866"/>
          <w:sz w:val="22"/>
        </w:rPr>
        <w:t xml:space="preserve">Implication: </w:t>
      </w:r>
      <w:r>
        <w:rPr>
          <w:rFonts w:ascii="Calibri" w:hAnsi="Calibri"/>
          <w:i/>
          <w:color w:val="525866"/>
          <w:sz w:val="22"/>
        </w:rPr>
        <w:t>Potential upside to MTD’s H2 guidance if tariff rates remain lower than assumed or refunds materialize.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since Q1 2026 earnings. All Form 4 filings since May 7, 2026 are equity award grants (transaction code “A” — awards/grants), not open-market purchases or sales. </w:t>
      </w:r>
      <w:r>
        <w:rPr>
          <w:rFonts w:ascii="Calibri" w:hAnsi="Calibri"/>
          <w:b/>
          <w:color w:val="525866"/>
          <w:sz w:val="22"/>
        </w:rPr>
        <w:t>There is no insider buying or selling signal to read into heading into Q2 earnings.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Security</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Kaltenbach, Patrick</w:t>
            </w:r>
          </w:p>
        </w:tc>
        <w:tc>
          <w:tcPr>
            <w:tcW w:type="dxa" w:w="1234"/>
          </w:tcPr>
          <w:p>
            <w:r>
              <w:rPr>
                <w:rFonts w:ascii="Calibri" w:hAnsi="Calibri"/>
                <w:sz w:val="22"/>
              </w:rPr>
              <w:t>President &amp; CEO</w:t>
            </w:r>
          </w:p>
        </w:tc>
        <w:tc>
          <w:tcPr>
            <w:tcW w:type="dxa" w:w="1234"/>
          </w:tcPr>
          <w:p>
            <w:r>
              <w:rPr>
                <w:rFonts w:ascii="Calibri" w:hAnsi="Calibri"/>
                <w:sz w:val="22"/>
              </w:rPr>
              <w:t>Award/Grant (Code A)</w:t>
            </w:r>
          </w:p>
        </w:tc>
        <w:tc>
          <w:tcPr>
            <w:tcW w:type="dxa" w:w="1234"/>
          </w:tcPr>
          <w:p>
            <w:r>
              <w:rPr>
                <w:rFonts w:ascii="Calibri" w:hAnsi="Calibri"/>
                <w:sz w:val="22"/>
              </w:rPr>
              <w:t>Common Stock</w:t>
            </w:r>
          </w:p>
        </w:tc>
        <w:tc>
          <w:tcPr>
            <w:tcW w:type="dxa" w:w="1234"/>
          </w:tcPr>
          <w:p>
            <w:r>
              <w:rPr>
                <w:rFonts w:ascii="Calibri" w:hAnsi="Calibri"/>
                <w:sz w:val="22"/>
              </w:rPr>
              <w:t>810</w:t>
            </w:r>
          </w:p>
        </w:tc>
        <w:tc>
          <w:tcPr>
            <w:tcW w:type="dxa" w:w="1234"/>
          </w:tcPr>
          <w:p>
            <w:r>
              <w:rPr>
                <w:rFonts w:ascii="Calibri" w:hAnsi="Calibri"/>
                <w:sz w:val="22"/>
              </w:rPr>
              <w:t>May 12, 2026</w:t>
            </w:r>
          </w:p>
        </w:tc>
        <w:tc>
          <w:tcPr>
            <w:tcW w:type="dxa" w:w="1234"/>
          </w:tcPr>
          <w:p>
            <w:r>
              <w:rPr>
                <w:rFonts w:ascii="Calibri" w:hAnsi="Calibri"/>
                <w:sz w:val="22"/>
              </w:rPr>
              <w:t>Equity award grant; not an open-market transaction</w:t>
            </w:r>
          </w:p>
        </w:tc>
      </w:tr>
      <w:tr>
        <w:tc>
          <w:tcPr>
            <w:tcW w:type="dxa" w:w="1234"/>
          </w:tcPr>
          <w:p>
            <w:r>
              <w:rPr>
                <w:rFonts w:ascii="Calibri" w:hAnsi="Calibri"/>
                <w:sz w:val="22"/>
              </w:rPr>
              <w:t>Kaltenbach, Patrick</w:t>
            </w:r>
          </w:p>
        </w:tc>
        <w:tc>
          <w:tcPr>
            <w:tcW w:type="dxa" w:w="1234"/>
          </w:tcPr>
          <w:p>
            <w:r>
              <w:rPr>
                <w:rFonts w:ascii="Calibri" w:hAnsi="Calibri"/>
                <w:sz w:val="22"/>
              </w:rPr>
              <w:t>President &amp; CEO</w:t>
            </w:r>
          </w:p>
        </w:tc>
        <w:tc>
          <w:tcPr>
            <w:tcW w:type="dxa" w:w="1234"/>
          </w:tcPr>
          <w:p>
            <w:r>
              <w:rPr>
                <w:rFonts w:ascii="Calibri" w:hAnsi="Calibri"/>
                <w:sz w:val="22"/>
              </w:rPr>
              <w:t>Award/Grant (Code A)</w:t>
            </w:r>
          </w:p>
        </w:tc>
        <w:tc>
          <w:tcPr>
            <w:tcW w:type="dxa" w:w="1234"/>
          </w:tcPr>
          <w:p>
            <w:r>
              <w:rPr>
                <w:rFonts w:ascii="Calibri" w:hAnsi="Calibri"/>
                <w:sz w:val="22"/>
              </w:rPr>
              <w:t>Stock Option (right to buy)</w:t>
            </w:r>
          </w:p>
        </w:tc>
        <w:tc>
          <w:tcPr>
            <w:tcW w:type="dxa" w:w="1234"/>
          </w:tcPr>
          <w:p>
            <w:r>
              <w:rPr>
                <w:rFonts w:ascii="Calibri" w:hAnsi="Calibri"/>
                <w:sz w:val="22"/>
              </w:rPr>
              <w:t>2,005</w:t>
            </w:r>
          </w:p>
        </w:tc>
        <w:tc>
          <w:tcPr>
            <w:tcW w:type="dxa" w:w="1234"/>
          </w:tcPr>
          <w:p>
            <w:r>
              <w:rPr>
                <w:rFonts w:ascii="Calibri" w:hAnsi="Calibri"/>
                <w:sz w:val="22"/>
              </w:rPr>
              <w:t>May 12, 2026</w:t>
            </w:r>
          </w:p>
        </w:tc>
        <w:tc>
          <w:tcPr>
            <w:tcW w:type="dxa" w:w="1234"/>
          </w:tcPr>
          <w:p>
            <w:r>
              <w:rPr>
                <w:rFonts w:ascii="Calibri" w:hAnsi="Calibri"/>
                <w:sz w:val="22"/>
              </w:rPr>
              <w:t>Option grant; not an open-market transaction</w:t>
            </w:r>
          </w:p>
        </w:tc>
      </w:tr>
      <w:tr>
        <w:tc>
          <w:tcPr>
            <w:tcW w:type="dxa" w:w="1234"/>
          </w:tcPr>
          <w:p>
            <w:r>
              <w:rPr>
                <w:rFonts w:ascii="Calibri" w:hAnsi="Calibri"/>
                <w:sz w:val="22"/>
              </w:rPr>
              <w:t>Vadala, Shawn</w:t>
            </w:r>
          </w:p>
        </w:tc>
        <w:tc>
          <w:tcPr>
            <w:tcW w:type="dxa" w:w="1234"/>
          </w:tcPr>
          <w:p>
            <w:r>
              <w:rPr>
                <w:rFonts w:ascii="Calibri" w:hAnsi="Calibri"/>
                <w:sz w:val="22"/>
              </w:rPr>
              <w:t>Chief Financial Officer</w:t>
            </w:r>
          </w:p>
        </w:tc>
        <w:tc>
          <w:tcPr>
            <w:tcW w:type="dxa" w:w="1234"/>
          </w:tcPr>
          <w:p>
            <w:r>
              <w:rPr>
                <w:rFonts w:ascii="Calibri" w:hAnsi="Calibri"/>
                <w:sz w:val="22"/>
              </w:rPr>
              <w:t>Award/Grant (Code A)</w:t>
            </w:r>
          </w:p>
        </w:tc>
        <w:tc>
          <w:tcPr>
            <w:tcW w:type="dxa" w:w="1234"/>
          </w:tcPr>
          <w:p>
            <w:r>
              <w:rPr>
                <w:rFonts w:ascii="Calibri" w:hAnsi="Calibri"/>
                <w:sz w:val="22"/>
              </w:rPr>
              <w:t>Common Stock</w:t>
            </w:r>
          </w:p>
        </w:tc>
        <w:tc>
          <w:tcPr>
            <w:tcW w:type="dxa" w:w="1234"/>
          </w:tcPr>
          <w:p>
            <w:r>
              <w:rPr>
                <w:rFonts w:ascii="Calibri" w:hAnsi="Calibri"/>
                <w:sz w:val="22"/>
              </w:rPr>
              <w:t>291</w:t>
            </w:r>
          </w:p>
        </w:tc>
        <w:tc>
          <w:tcPr>
            <w:tcW w:type="dxa" w:w="1234"/>
          </w:tcPr>
          <w:p>
            <w:r>
              <w:rPr>
                <w:rFonts w:ascii="Calibri" w:hAnsi="Calibri"/>
                <w:sz w:val="22"/>
              </w:rPr>
              <w:t>May 12, 2026</w:t>
            </w:r>
          </w:p>
        </w:tc>
        <w:tc>
          <w:tcPr>
            <w:tcW w:type="dxa" w:w="1234"/>
          </w:tcPr>
          <w:p>
            <w:r>
              <w:rPr>
                <w:rFonts w:ascii="Calibri" w:hAnsi="Calibri"/>
                <w:sz w:val="22"/>
              </w:rPr>
              <w:t>Equity award grant; not an open-market transaction</w:t>
            </w:r>
          </w:p>
        </w:tc>
      </w:tr>
      <w:tr>
        <w:tc>
          <w:tcPr>
            <w:tcW w:type="dxa" w:w="1234"/>
          </w:tcPr>
          <w:p>
            <w:r>
              <w:rPr>
                <w:rFonts w:ascii="Calibri" w:hAnsi="Calibri"/>
                <w:sz w:val="22"/>
              </w:rPr>
              <w:t>Vadala, Shawn</w:t>
            </w:r>
          </w:p>
        </w:tc>
        <w:tc>
          <w:tcPr>
            <w:tcW w:type="dxa" w:w="1234"/>
          </w:tcPr>
          <w:p>
            <w:r>
              <w:rPr>
                <w:rFonts w:ascii="Calibri" w:hAnsi="Calibri"/>
                <w:sz w:val="22"/>
              </w:rPr>
              <w:t>Chief Financial Officer</w:t>
            </w:r>
          </w:p>
        </w:tc>
        <w:tc>
          <w:tcPr>
            <w:tcW w:type="dxa" w:w="1234"/>
          </w:tcPr>
          <w:p>
            <w:r>
              <w:rPr>
                <w:rFonts w:ascii="Calibri" w:hAnsi="Calibri"/>
                <w:sz w:val="22"/>
              </w:rPr>
              <w:t>Award/Grant (Code A)</w:t>
            </w:r>
          </w:p>
        </w:tc>
        <w:tc>
          <w:tcPr>
            <w:tcW w:type="dxa" w:w="1234"/>
          </w:tcPr>
          <w:p>
            <w:r>
              <w:rPr>
                <w:rFonts w:ascii="Calibri" w:hAnsi="Calibri"/>
                <w:sz w:val="22"/>
              </w:rPr>
              <w:t>Stock Option (right to buy)</w:t>
            </w:r>
          </w:p>
        </w:tc>
        <w:tc>
          <w:tcPr>
            <w:tcW w:type="dxa" w:w="1234"/>
          </w:tcPr>
          <w:p>
            <w:r>
              <w:rPr>
                <w:rFonts w:ascii="Calibri" w:hAnsi="Calibri"/>
                <w:sz w:val="22"/>
              </w:rPr>
              <w:t>720</w:t>
            </w:r>
          </w:p>
        </w:tc>
        <w:tc>
          <w:tcPr>
            <w:tcW w:type="dxa" w:w="1234"/>
          </w:tcPr>
          <w:p>
            <w:r>
              <w:rPr>
                <w:rFonts w:ascii="Calibri" w:hAnsi="Calibri"/>
                <w:sz w:val="22"/>
              </w:rPr>
              <w:t>May 12, 2026</w:t>
            </w:r>
          </w:p>
        </w:tc>
        <w:tc>
          <w:tcPr>
            <w:tcW w:type="dxa" w:w="1234"/>
          </w:tcPr>
          <w:p>
            <w:r>
              <w:rPr>
                <w:rFonts w:ascii="Calibri" w:hAnsi="Calibri"/>
                <w:sz w:val="22"/>
              </w:rPr>
              <w:t>Option grant; not an open-market transaction</w:t>
            </w:r>
          </w:p>
        </w:tc>
      </w:tr>
      <w:tr>
        <w:tc>
          <w:tcPr>
            <w:tcW w:type="dxa" w:w="1234"/>
          </w:tcPr>
          <w:p>
            <w:r>
              <w:rPr>
                <w:rFonts w:ascii="Calibri" w:hAnsi="Calibri"/>
                <w:sz w:val="22"/>
              </w:rPr>
              <w:t>Graham-Bryce, Susan</w:t>
            </w:r>
          </w:p>
        </w:tc>
        <w:tc>
          <w:tcPr>
            <w:tcW w:type="dxa" w:w="1234"/>
          </w:tcPr>
          <w:p>
            <w:r>
              <w:rPr>
                <w:rFonts w:ascii="Calibri" w:hAnsi="Calibri"/>
                <w:sz w:val="22"/>
              </w:rPr>
              <w:t>Chief Human Resources Officer</w:t>
            </w:r>
          </w:p>
        </w:tc>
        <w:tc>
          <w:tcPr>
            <w:tcW w:type="dxa" w:w="1234"/>
          </w:tcPr>
          <w:p>
            <w:r>
              <w:rPr>
                <w:rFonts w:ascii="Calibri" w:hAnsi="Calibri"/>
                <w:sz w:val="22"/>
              </w:rPr>
              <w:t>Award/Grant (Code A)</w:t>
            </w:r>
          </w:p>
        </w:tc>
        <w:tc>
          <w:tcPr>
            <w:tcW w:type="dxa" w:w="1234"/>
          </w:tcPr>
          <w:p>
            <w:r>
              <w:rPr>
                <w:rFonts w:ascii="Calibri" w:hAnsi="Calibri"/>
                <w:sz w:val="22"/>
              </w:rPr>
              <w:t>Common Stock</w:t>
            </w:r>
          </w:p>
        </w:tc>
        <w:tc>
          <w:tcPr>
            <w:tcW w:type="dxa" w:w="1234"/>
          </w:tcPr>
          <w:p>
            <w:r>
              <w:rPr>
                <w:rFonts w:ascii="Calibri" w:hAnsi="Calibri"/>
                <w:sz w:val="22"/>
              </w:rPr>
              <w:t>71</w:t>
            </w:r>
          </w:p>
        </w:tc>
        <w:tc>
          <w:tcPr>
            <w:tcW w:type="dxa" w:w="1234"/>
          </w:tcPr>
          <w:p>
            <w:r>
              <w:rPr>
                <w:rFonts w:ascii="Calibri" w:hAnsi="Calibri"/>
                <w:sz w:val="22"/>
              </w:rPr>
              <w:t>May 12, 2026</w:t>
            </w:r>
          </w:p>
        </w:tc>
        <w:tc>
          <w:tcPr>
            <w:tcW w:type="dxa" w:w="1234"/>
          </w:tcPr>
          <w:p>
            <w:r>
              <w:rPr>
                <w:rFonts w:ascii="Calibri" w:hAnsi="Calibri"/>
                <w:sz w:val="22"/>
              </w:rPr>
              <w:t>Equity award grant; not an open-market transaction</w:t>
            </w:r>
          </w:p>
        </w:tc>
      </w:tr>
      <w:tr>
        <w:tc>
          <w:tcPr>
            <w:tcW w:type="dxa" w:w="1234"/>
          </w:tcPr>
          <w:p>
            <w:r>
              <w:rPr>
                <w:rFonts w:ascii="Calibri" w:hAnsi="Calibri"/>
                <w:sz w:val="22"/>
              </w:rPr>
              <w:t>Graham-Bryce, Susan</w:t>
            </w:r>
          </w:p>
        </w:tc>
        <w:tc>
          <w:tcPr>
            <w:tcW w:type="dxa" w:w="1234"/>
          </w:tcPr>
          <w:p>
            <w:r>
              <w:rPr>
                <w:rFonts w:ascii="Calibri" w:hAnsi="Calibri"/>
                <w:sz w:val="22"/>
              </w:rPr>
              <w:t>Chief Human Resources Officer</w:t>
            </w:r>
          </w:p>
        </w:tc>
        <w:tc>
          <w:tcPr>
            <w:tcW w:type="dxa" w:w="1234"/>
          </w:tcPr>
          <w:p>
            <w:r>
              <w:rPr>
                <w:rFonts w:ascii="Calibri" w:hAnsi="Calibri"/>
                <w:sz w:val="22"/>
              </w:rPr>
              <w:t>Award/Grant (Code A)</w:t>
            </w:r>
          </w:p>
        </w:tc>
        <w:tc>
          <w:tcPr>
            <w:tcW w:type="dxa" w:w="1234"/>
          </w:tcPr>
          <w:p>
            <w:r>
              <w:rPr>
                <w:rFonts w:ascii="Calibri" w:hAnsi="Calibri"/>
                <w:sz w:val="22"/>
              </w:rPr>
              <w:t>Stock Option (right to buy)</w:t>
            </w:r>
          </w:p>
        </w:tc>
        <w:tc>
          <w:tcPr>
            <w:tcW w:type="dxa" w:w="1234"/>
          </w:tcPr>
          <w:p>
            <w:r>
              <w:rPr>
                <w:rFonts w:ascii="Calibri" w:hAnsi="Calibri"/>
                <w:sz w:val="22"/>
              </w:rPr>
              <w:t>175</w:t>
            </w:r>
          </w:p>
        </w:tc>
        <w:tc>
          <w:tcPr>
            <w:tcW w:type="dxa" w:w="1234"/>
          </w:tcPr>
          <w:p>
            <w:r>
              <w:rPr>
                <w:rFonts w:ascii="Calibri" w:hAnsi="Calibri"/>
                <w:sz w:val="22"/>
              </w:rPr>
              <w:t>May 12, 2026</w:t>
            </w:r>
          </w:p>
        </w:tc>
        <w:tc>
          <w:tcPr>
            <w:tcW w:type="dxa" w:w="1234"/>
          </w:tcPr>
          <w:p>
            <w:r>
              <w:rPr>
                <w:rFonts w:ascii="Calibri" w:hAnsi="Calibri"/>
                <w:sz w:val="22"/>
              </w:rPr>
              <w:t>Option grant; not an open-market transaction</w:t>
            </w:r>
          </w:p>
        </w:tc>
      </w:tr>
      <w:tr>
        <w:tc>
          <w:tcPr>
            <w:tcW w:type="dxa" w:w="1234"/>
          </w:tcPr>
          <w:p>
            <w:r>
              <w:rPr>
                <w:rFonts w:ascii="Calibri" w:hAnsi="Calibri"/>
                <w:sz w:val="22"/>
              </w:rPr>
              <w:t>Keller, Gerry</w:t>
            </w:r>
          </w:p>
        </w:tc>
        <w:tc>
          <w:tcPr>
            <w:tcW w:type="dxa" w:w="1234"/>
          </w:tcPr>
          <w:p>
            <w:r>
              <w:rPr>
                <w:rFonts w:ascii="Calibri" w:hAnsi="Calibri"/>
                <w:sz w:val="22"/>
              </w:rPr>
              <w:t>Head of Process Analytics</w:t>
            </w:r>
          </w:p>
        </w:tc>
        <w:tc>
          <w:tcPr>
            <w:tcW w:type="dxa" w:w="1234"/>
          </w:tcPr>
          <w:p>
            <w:r>
              <w:rPr>
                <w:rFonts w:ascii="Calibri" w:hAnsi="Calibri"/>
                <w:sz w:val="22"/>
              </w:rPr>
              <w:t>Award/Grant (Code A)</w:t>
            </w:r>
          </w:p>
        </w:tc>
        <w:tc>
          <w:tcPr>
            <w:tcW w:type="dxa" w:w="1234"/>
          </w:tcPr>
          <w:p>
            <w:r>
              <w:rPr>
                <w:rFonts w:ascii="Calibri" w:hAnsi="Calibri"/>
                <w:sz w:val="22"/>
              </w:rPr>
              <w:t>Common Stock</w:t>
            </w:r>
          </w:p>
        </w:tc>
        <w:tc>
          <w:tcPr>
            <w:tcW w:type="dxa" w:w="1234"/>
          </w:tcPr>
          <w:p>
            <w:r>
              <w:rPr>
                <w:rFonts w:ascii="Calibri" w:hAnsi="Calibri"/>
                <w:sz w:val="22"/>
              </w:rPr>
              <w:t>100</w:t>
            </w:r>
          </w:p>
        </w:tc>
        <w:tc>
          <w:tcPr>
            <w:tcW w:type="dxa" w:w="1234"/>
          </w:tcPr>
          <w:p>
            <w:r>
              <w:rPr>
                <w:rFonts w:ascii="Calibri" w:hAnsi="Calibri"/>
                <w:sz w:val="22"/>
              </w:rPr>
              <w:t>May 12, 2026</w:t>
            </w:r>
          </w:p>
        </w:tc>
        <w:tc>
          <w:tcPr>
            <w:tcW w:type="dxa" w:w="1234"/>
          </w:tcPr>
          <w:p>
            <w:r>
              <w:rPr>
                <w:rFonts w:ascii="Calibri" w:hAnsi="Calibri"/>
                <w:sz w:val="22"/>
              </w:rPr>
              <w:t>Equity award grant; not an open-market transaction</w:t>
            </w:r>
          </w:p>
        </w:tc>
      </w:tr>
      <w:tr>
        <w:tc>
          <w:tcPr>
            <w:tcW w:type="dxa" w:w="1234"/>
          </w:tcPr>
          <w:p>
            <w:r>
              <w:rPr>
                <w:rFonts w:ascii="Calibri" w:hAnsi="Calibri"/>
                <w:sz w:val="22"/>
              </w:rPr>
              <w:t>Keller, Gerry</w:t>
            </w:r>
          </w:p>
        </w:tc>
        <w:tc>
          <w:tcPr>
            <w:tcW w:type="dxa" w:w="1234"/>
          </w:tcPr>
          <w:p>
            <w:r>
              <w:rPr>
                <w:rFonts w:ascii="Calibri" w:hAnsi="Calibri"/>
                <w:sz w:val="22"/>
              </w:rPr>
              <w:t>Head of Process Analytics</w:t>
            </w:r>
          </w:p>
        </w:tc>
        <w:tc>
          <w:tcPr>
            <w:tcW w:type="dxa" w:w="1234"/>
          </w:tcPr>
          <w:p>
            <w:r>
              <w:rPr>
                <w:rFonts w:ascii="Calibri" w:hAnsi="Calibri"/>
                <w:sz w:val="22"/>
              </w:rPr>
              <w:t>Award/Grant (Code A)</w:t>
            </w:r>
          </w:p>
        </w:tc>
        <w:tc>
          <w:tcPr>
            <w:tcW w:type="dxa" w:w="1234"/>
          </w:tcPr>
          <w:p>
            <w:r>
              <w:rPr>
                <w:rFonts w:ascii="Calibri" w:hAnsi="Calibri"/>
                <w:sz w:val="22"/>
              </w:rPr>
              <w:t>Stock Option (right to buy)</w:t>
            </w:r>
          </w:p>
        </w:tc>
        <w:tc>
          <w:tcPr>
            <w:tcW w:type="dxa" w:w="1234"/>
          </w:tcPr>
          <w:p>
            <w:r>
              <w:rPr>
                <w:rFonts w:ascii="Calibri" w:hAnsi="Calibri"/>
                <w:sz w:val="22"/>
              </w:rPr>
              <w:t>250</w:t>
            </w:r>
          </w:p>
        </w:tc>
        <w:tc>
          <w:tcPr>
            <w:tcW w:type="dxa" w:w="1234"/>
          </w:tcPr>
          <w:p>
            <w:r>
              <w:rPr>
                <w:rFonts w:ascii="Calibri" w:hAnsi="Calibri"/>
                <w:sz w:val="22"/>
              </w:rPr>
              <w:t>May 12, 2026</w:t>
            </w:r>
          </w:p>
        </w:tc>
        <w:tc>
          <w:tcPr>
            <w:tcW w:type="dxa" w:w="1234"/>
          </w:tcPr>
          <w:p>
            <w:r>
              <w:rPr>
                <w:rFonts w:ascii="Calibri" w:hAnsi="Calibri"/>
                <w:sz w:val="22"/>
              </w:rPr>
              <w:t>Option grant; not an open-market transaction</w:t>
            </w:r>
          </w:p>
        </w:tc>
      </w:tr>
      <w:tr>
        <w:tc>
          <w:tcPr>
            <w:tcW w:type="dxa" w:w="1234"/>
          </w:tcPr>
          <w:p>
            <w:r>
              <w:rPr>
                <w:rFonts w:ascii="Calibri" w:hAnsi="Calibri"/>
                <w:sz w:val="22"/>
              </w:rPr>
              <w:t>Wittorf, Oliver</w:t>
            </w:r>
          </w:p>
        </w:tc>
        <w:tc>
          <w:tcPr>
            <w:tcW w:type="dxa" w:w="1234"/>
          </w:tcPr>
          <w:p>
            <w:r>
              <w:rPr>
                <w:rFonts w:ascii="Calibri" w:hAnsi="Calibri"/>
                <w:sz w:val="22"/>
              </w:rPr>
              <w:t>Head of PI, Retail &amp; GSC</w:t>
            </w:r>
          </w:p>
        </w:tc>
        <w:tc>
          <w:tcPr>
            <w:tcW w:type="dxa" w:w="1234"/>
          </w:tcPr>
          <w:p>
            <w:r>
              <w:rPr>
                <w:rFonts w:ascii="Calibri" w:hAnsi="Calibri"/>
                <w:sz w:val="22"/>
              </w:rPr>
              <w:t>Award/Grant (Code A)</w:t>
            </w:r>
          </w:p>
        </w:tc>
        <w:tc>
          <w:tcPr>
            <w:tcW w:type="dxa" w:w="1234"/>
          </w:tcPr>
          <w:p>
            <w:r>
              <w:rPr>
                <w:rFonts w:ascii="Calibri" w:hAnsi="Calibri"/>
                <w:sz w:val="22"/>
              </w:rPr>
              <w:t>Common Stock</w:t>
            </w:r>
          </w:p>
        </w:tc>
        <w:tc>
          <w:tcPr>
            <w:tcW w:type="dxa" w:w="1234"/>
          </w:tcPr>
          <w:p>
            <w:r>
              <w:rPr>
                <w:rFonts w:ascii="Calibri" w:hAnsi="Calibri"/>
                <w:sz w:val="22"/>
              </w:rPr>
              <w:t>87</w:t>
            </w:r>
          </w:p>
        </w:tc>
        <w:tc>
          <w:tcPr>
            <w:tcW w:type="dxa" w:w="1234"/>
          </w:tcPr>
          <w:p>
            <w:r>
              <w:rPr>
                <w:rFonts w:ascii="Calibri" w:hAnsi="Calibri"/>
                <w:sz w:val="22"/>
              </w:rPr>
              <w:t>May 12, 2026</w:t>
            </w:r>
          </w:p>
        </w:tc>
        <w:tc>
          <w:tcPr>
            <w:tcW w:type="dxa" w:w="1234"/>
          </w:tcPr>
          <w:p>
            <w:r>
              <w:rPr>
                <w:rFonts w:ascii="Calibri" w:hAnsi="Calibri"/>
                <w:sz w:val="22"/>
              </w:rPr>
              <w:t>Equity award grant; not an open-market transaction</w:t>
            </w:r>
          </w:p>
        </w:tc>
      </w:tr>
      <w:tr>
        <w:tc>
          <w:tcPr>
            <w:tcW w:type="dxa" w:w="1234"/>
          </w:tcPr>
          <w:p>
            <w:r>
              <w:rPr>
                <w:rFonts w:ascii="Calibri" w:hAnsi="Calibri"/>
                <w:sz w:val="22"/>
              </w:rPr>
              <w:t>Wittorf, Oliver</w:t>
            </w:r>
          </w:p>
        </w:tc>
        <w:tc>
          <w:tcPr>
            <w:tcW w:type="dxa" w:w="1234"/>
          </w:tcPr>
          <w:p>
            <w:r>
              <w:rPr>
                <w:rFonts w:ascii="Calibri" w:hAnsi="Calibri"/>
                <w:sz w:val="22"/>
              </w:rPr>
              <w:t>Head of PI, Retail &amp; GSC</w:t>
            </w:r>
          </w:p>
        </w:tc>
        <w:tc>
          <w:tcPr>
            <w:tcW w:type="dxa" w:w="1234"/>
          </w:tcPr>
          <w:p>
            <w:r>
              <w:rPr>
                <w:rFonts w:ascii="Calibri" w:hAnsi="Calibri"/>
                <w:sz w:val="22"/>
              </w:rPr>
              <w:t>Award/Grant (Code A)</w:t>
            </w:r>
          </w:p>
        </w:tc>
        <w:tc>
          <w:tcPr>
            <w:tcW w:type="dxa" w:w="1234"/>
          </w:tcPr>
          <w:p>
            <w:r>
              <w:rPr>
                <w:rFonts w:ascii="Calibri" w:hAnsi="Calibri"/>
                <w:sz w:val="22"/>
              </w:rPr>
              <w:t>Stock Option (right to buy)</w:t>
            </w:r>
          </w:p>
        </w:tc>
        <w:tc>
          <w:tcPr>
            <w:tcW w:type="dxa" w:w="1234"/>
          </w:tcPr>
          <w:p>
            <w:r>
              <w:rPr>
                <w:rFonts w:ascii="Calibri" w:hAnsi="Calibri"/>
                <w:sz w:val="22"/>
              </w:rPr>
              <w:t>215</w:t>
            </w:r>
          </w:p>
        </w:tc>
        <w:tc>
          <w:tcPr>
            <w:tcW w:type="dxa" w:w="1234"/>
          </w:tcPr>
          <w:p>
            <w:r>
              <w:rPr>
                <w:rFonts w:ascii="Calibri" w:hAnsi="Calibri"/>
                <w:sz w:val="22"/>
              </w:rPr>
              <w:t>May 12, 2026</w:t>
            </w:r>
          </w:p>
        </w:tc>
        <w:tc>
          <w:tcPr>
            <w:tcW w:type="dxa" w:w="1234"/>
          </w:tcPr>
          <w:p>
            <w:r>
              <w:rPr>
                <w:rFonts w:ascii="Calibri" w:hAnsi="Calibri"/>
                <w:sz w:val="22"/>
              </w:rPr>
              <w:t>Option grant; not an open-market transaction</w:t>
            </w:r>
          </w:p>
        </w:tc>
      </w:tr>
      <w:tr>
        <w:tc>
          <w:tcPr>
            <w:tcW w:type="dxa" w:w="1234"/>
          </w:tcPr>
          <w:p>
            <w:r>
              <w:rPr>
                <w:rFonts w:ascii="Calibri" w:hAnsi="Calibri"/>
                <w:sz w:val="22"/>
              </w:rPr>
              <w:t>Wong Ann Ping, Richard</w:t>
            </w:r>
          </w:p>
        </w:tc>
        <w:tc>
          <w:tcPr>
            <w:tcW w:type="dxa" w:w="1234"/>
          </w:tcPr>
          <w:p>
            <w:r>
              <w:rPr>
                <w:rFonts w:ascii="Calibri" w:hAnsi="Calibri"/>
                <w:sz w:val="22"/>
              </w:rPr>
              <w:t>Head of Asia &amp; Pacific</w:t>
            </w:r>
          </w:p>
        </w:tc>
        <w:tc>
          <w:tcPr>
            <w:tcW w:type="dxa" w:w="1234"/>
          </w:tcPr>
          <w:p>
            <w:r>
              <w:rPr>
                <w:rFonts w:ascii="Calibri" w:hAnsi="Calibri"/>
                <w:sz w:val="22"/>
              </w:rPr>
              <w:t>Award/Grant (Code A)</w:t>
            </w:r>
          </w:p>
        </w:tc>
        <w:tc>
          <w:tcPr>
            <w:tcW w:type="dxa" w:w="1234"/>
          </w:tcPr>
          <w:p>
            <w:r>
              <w:rPr>
                <w:rFonts w:ascii="Calibri" w:hAnsi="Calibri"/>
                <w:sz w:val="22"/>
              </w:rPr>
              <w:t>Common Stock</w:t>
            </w:r>
          </w:p>
        </w:tc>
        <w:tc>
          <w:tcPr>
            <w:tcW w:type="dxa" w:w="1234"/>
          </w:tcPr>
          <w:p>
            <w:r>
              <w:rPr>
                <w:rFonts w:ascii="Calibri" w:hAnsi="Calibri"/>
                <w:sz w:val="22"/>
              </w:rPr>
              <w:t>103</w:t>
            </w:r>
          </w:p>
        </w:tc>
        <w:tc>
          <w:tcPr>
            <w:tcW w:type="dxa" w:w="1234"/>
          </w:tcPr>
          <w:p>
            <w:r>
              <w:rPr>
                <w:rFonts w:ascii="Calibri" w:hAnsi="Calibri"/>
                <w:sz w:val="22"/>
              </w:rPr>
              <w:t>May 12, 2026</w:t>
            </w:r>
          </w:p>
        </w:tc>
        <w:tc>
          <w:tcPr>
            <w:tcW w:type="dxa" w:w="1234"/>
          </w:tcPr>
          <w:p>
            <w:r>
              <w:rPr>
                <w:rFonts w:ascii="Calibri" w:hAnsi="Calibri"/>
                <w:sz w:val="22"/>
              </w:rPr>
              <w:t>Equity award grant; not an open-market transaction</w:t>
            </w:r>
          </w:p>
        </w:tc>
      </w:tr>
      <w:tr>
        <w:tc>
          <w:tcPr>
            <w:tcW w:type="dxa" w:w="1234"/>
          </w:tcPr>
          <w:p>
            <w:r>
              <w:rPr>
                <w:rFonts w:ascii="Calibri" w:hAnsi="Calibri"/>
                <w:sz w:val="22"/>
              </w:rPr>
              <w:t>Wong Ann Ping, Richard</w:t>
            </w:r>
          </w:p>
        </w:tc>
        <w:tc>
          <w:tcPr>
            <w:tcW w:type="dxa" w:w="1234"/>
          </w:tcPr>
          <w:p>
            <w:r>
              <w:rPr>
                <w:rFonts w:ascii="Calibri" w:hAnsi="Calibri"/>
                <w:sz w:val="22"/>
              </w:rPr>
              <w:t>Head of Asia &amp; Pacific</w:t>
            </w:r>
          </w:p>
        </w:tc>
        <w:tc>
          <w:tcPr>
            <w:tcW w:type="dxa" w:w="1234"/>
          </w:tcPr>
          <w:p>
            <w:r>
              <w:rPr>
                <w:rFonts w:ascii="Calibri" w:hAnsi="Calibri"/>
                <w:sz w:val="22"/>
              </w:rPr>
              <w:t>Award/Grant (Code A)</w:t>
            </w:r>
          </w:p>
        </w:tc>
        <w:tc>
          <w:tcPr>
            <w:tcW w:type="dxa" w:w="1234"/>
          </w:tcPr>
          <w:p>
            <w:r>
              <w:rPr>
                <w:rFonts w:ascii="Calibri" w:hAnsi="Calibri"/>
                <w:sz w:val="22"/>
              </w:rPr>
              <w:t>Stock Option (right to buy)</w:t>
            </w:r>
          </w:p>
        </w:tc>
        <w:tc>
          <w:tcPr>
            <w:tcW w:type="dxa" w:w="1234"/>
          </w:tcPr>
          <w:p>
            <w:r>
              <w:rPr>
                <w:rFonts w:ascii="Calibri" w:hAnsi="Calibri"/>
                <w:sz w:val="22"/>
              </w:rPr>
              <w:t>255</w:t>
            </w:r>
          </w:p>
        </w:tc>
        <w:tc>
          <w:tcPr>
            <w:tcW w:type="dxa" w:w="1234"/>
          </w:tcPr>
          <w:p>
            <w:r>
              <w:rPr>
                <w:rFonts w:ascii="Calibri" w:hAnsi="Calibri"/>
                <w:sz w:val="22"/>
              </w:rPr>
              <w:t>May 12, 2026</w:t>
            </w:r>
          </w:p>
        </w:tc>
        <w:tc>
          <w:tcPr>
            <w:tcW w:type="dxa" w:w="1234"/>
          </w:tcPr>
          <w:p>
            <w:r>
              <w:rPr>
                <w:rFonts w:ascii="Calibri" w:hAnsi="Calibri"/>
                <w:sz w:val="22"/>
              </w:rPr>
              <w:t>Option grant; not an open-market transaction</w:t>
            </w:r>
          </w:p>
        </w:tc>
      </w:tr>
    </w:tbl>
    <w:p>
      <w:r>
        <w:rPr>
          <w:rFonts w:ascii="Calibri" w:hAnsi="Calibri"/>
          <w:i/>
          <w:color w:val="525866"/>
          <w:sz w:val="22"/>
        </w:rPr>
        <w:t>Source: SEC Form 4 filings (Insider Transaction Data). All transactions on May 12, 2026 are equity award grants (Form 4 transaction code “A”), filed May 14, 2026. These are compensation-related grants, not open-market buys or sells. No open-market purchases (Code P) or sales (Code S) have been filed since the Q1 2026 earnings date (May 7, 2026). No 10b5-1 plan initiations or Form 144 filings were identified in the period. The absence of discretionary insider selling following the post-earnings stock decline is a mild positive signal.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