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Mettler-Toledo International (MTD)</w:t>
      </w:r>
    </w:p>
    <w:p>
      <w:pPr>
        <w:pStyle w:val="Heading2"/>
      </w:pPr>
      <w:r>
        <w:rPr>
          <w:rFonts w:ascii="Calibri" w:hAnsi="Calibri"/>
          <w:b/>
          <w:color w:val="3B4259"/>
          <w:sz w:val="28"/>
        </w:rPr>
        <w:t>Earnings Preview — 2Q 2026</w:t>
      </w:r>
    </w:p>
    <w:p>
      <w:r>
        <w:rPr>
          <w:rFonts w:ascii="Calibri" w:hAnsi="Calibri"/>
          <w:b/>
          <w:color w:val="525866"/>
          <w:sz w:val="22"/>
        </w:rPr>
        <w:t xml:space="preserve">Upcoming Earnings Date: </w:t>
      </w:r>
      <w:r>
        <w:rPr>
          <w:rFonts w:ascii="Calibri" w:hAnsi="Calibri"/>
          <w:color w:val="525866"/>
          <w:sz w:val="22"/>
        </w:rPr>
        <w:t xml:space="preserve">July 31, 2026  </w:t>
      </w:r>
      <w:r>
        <w:rPr>
          <w:rFonts w:ascii="Calibri" w:hAnsi="Calibri"/>
          <w:b/>
          <w:color w:val="525866"/>
          <w:sz w:val="22"/>
        </w:rPr>
        <w:t xml:space="preserve">  |  Prepared: </w:t>
      </w:r>
      <w:r>
        <w:rPr>
          <w:rFonts w:ascii="Calibri" w:hAnsi="Calibri"/>
          <w:color w:val="525866"/>
          <w:sz w:val="22"/>
        </w:rPr>
        <w:t xml:space="preserve">July 29, 2026  </w:t>
      </w:r>
      <w:r>
        <w:rPr>
          <w:rFonts w:ascii="Calibri" w:hAnsi="Calibri"/>
          <w:b/>
          <w:color w:val="525866"/>
          <w:sz w:val="22"/>
        </w:rPr>
        <w:t xml:space="preserve">  |  Reporting Period: </w:t>
      </w:r>
      <w:r>
        <w:rPr>
          <w:rFonts w:ascii="Calibri" w:hAnsi="Calibri"/>
          <w:color w:val="525866"/>
          <w:sz w:val="22"/>
        </w:rPr>
        <w:t>2Q 2026 (quarter ending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2Q 2026 is mixed — consensus sits modestly below management's guidance midpoint on EPS, creating a low bar, but the stock has already rallied ~5% since the Q1 print, meaning any guidance disappointment (particularly on 2H cadence) could be punished. The single biggest swing factor is whether China industrial momentum and bioprocessing strength are enough to offset continued Western market softness.</w:t>
      </w:r>
    </w:p>
    <w:p>
      <w:r>
        <w:rPr>
          <w:rFonts w:ascii="Calibri" w:hAnsi="Calibri"/>
          <w:color w:val="525866"/>
          <w:sz w:val="22"/>
        </w:rPr>
        <w:t xml:space="preserve">Heading into the 2Q 2026 print, the bar for MTD appears manageable: management guided 2Q adjusted EPS to $10.70–$10.85 (midpoint $10.775), while current consensus sits at ~$10.81 — essentially in line with guidance, leaving limited room for a meaningful beat unless volume or pricing surprises to the upside. </w:t>
      </w:r>
      <w:r>
        <w:rPr>
          <w:rFonts w:ascii="Calibri" w:hAnsi="Calibri"/>
          <w:b/>
          <w:color w:val="525866"/>
          <w:sz w:val="22"/>
        </w:rPr>
        <w:t>Management's tone on the Q1 call was cautiously constructive</w:t>
      </w:r>
      <w:r>
        <w:rPr>
          <w:rFonts w:ascii="Calibri" w:hAnsi="Calibri"/>
          <w:color w:val="525866"/>
          <w:sz w:val="22"/>
        </w:rPr>
        <w:t xml:space="preserve"> — they raised full-year EPS guidance to $46.30–$46.95 while acknowledging macro uncertainty, Middle East conflict-driven energy cost inflation, and customer delays in Western markets. Estimate revisions have drifted modestly lower since the Q1 print (from ~$10.77 to ~$10.81 on a net basis), suggesting the Street has largely absorbed the guidance and is not pricing in a significant beat. </w:t>
      </w:r>
      <w:r>
        <w:rPr>
          <w:rFonts w:ascii="Calibri" w:hAnsi="Calibri"/>
          <w:b/>
          <w:color w:val="525866"/>
          <w:sz w:val="22"/>
        </w:rPr>
        <w:t>The stock has recovered sharply from its post-Q1 gap-down</w:t>
      </w:r>
      <w:r>
        <w:rPr>
          <w:rFonts w:ascii="Calibri" w:hAnsi="Calibri"/>
          <w:color w:val="525866"/>
          <w:sz w:val="22"/>
        </w:rPr>
        <w:t xml:space="preserve"> (from ~$1,319 pre-print to a low of ~$1,025 before recovering to ~$1,388 as of July 28), implying the market has re-rated the stock higher on improving peer read-throughs (TMO's strong Q2 beat) and China optimism — a dynamic that raises the bar for the actual print. The key wildcard is </w:t>
      </w:r>
      <w:r>
        <w:rPr>
          <w:rFonts w:ascii="Calibri" w:hAnsi="Calibri"/>
          <w:b/>
          <w:color w:val="525866"/>
          <w:sz w:val="22"/>
        </w:rPr>
        <w:t>whether Danaher's cautious 3Q bioprocessing commentary (&gt;$100M of revenue pushed out of the year) creates a read-through headwind for MTD's biopharma segment</w:t>
      </w:r>
      <w:r>
        <w:rPr>
          <w:rFonts w:ascii="Calibri" w:hAnsi="Calibri"/>
          <w:color w:val="525866"/>
          <w:sz w:val="22"/>
        </w:rPr>
        <w:t>, even as Thermo Fisher's strong Q2 organic growth of ~5% (200bps above consensus) signals broad-based life science tools recovery.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essentially in line with management's guidance midpoint on both revenue and EPS, creating a low-to-neutral bar. </w:t>
      </w:r>
      <w:r>
        <w:rPr>
          <w:rFonts w:ascii="Calibri" w:hAnsi="Calibri"/>
          <w:b/>
          <w:color w:val="525866"/>
          <w:sz w:val="22"/>
        </w:rPr>
        <w:t>Organic growth is the bigger swing factor</w:t>
      </w:r>
      <w:r>
        <w:rPr>
          <w:rFonts w:ascii="Calibri" w:hAnsi="Calibri"/>
          <w:color w:val="525866"/>
          <w:sz w:val="22"/>
        </w:rPr>
        <w:t xml:space="preserve"> — consensus at ~2.0% organic for 2Q implies modest improvement from Q1's 1.5% organic, and any upside from China industrial or bioprocessing acceleration could drive a beat.</w:t>
      </w:r>
    </w:p>
    <w:p>
      <w:pPr>
        <w:pStyle w:val="Heading3"/>
      </w:pPr>
      <w:r>
        <w:rPr>
          <w:rFonts w:ascii="Calibri" w:hAnsi="Calibri"/>
          <w:b/>
          <w:color w:val="3B4259"/>
          <w:sz w:val="24"/>
        </w:rPr>
        <w:t>Table 1 — 2Q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 2026 Actual (Last Quarter)</w:t>
            </w:r>
          </w:p>
        </w:tc>
        <w:tc>
          <w:tcPr>
            <w:tcW w:type="dxa" w:w="1234"/>
            <w:shd w:val="clear" w:color="auto" w:fill="3B4259"/>
          </w:tcPr>
          <w:p>
            <w:r>
              <w:rPr>
                <w:rFonts w:ascii="Calibri" w:hAnsi="Calibri"/>
                <w:b/>
                <w:color w:val="FFFFFF"/>
                <w:sz w:val="22"/>
              </w:rPr>
              <w:t>2Q 2025 Actual (Prior Year Period)</w:t>
            </w:r>
          </w:p>
        </w:tc>
        <w:tc>
          <w:tcPr>
            <w:tcW w:type="dxa" w:w="1234"/>
            <w:shd w:val="clear" w:color="auto" w:fill="3B4259"/>
          </w:tcPr>
          <w:p>
            <w:r>
              <w:rPr>
                <w:rFonts w:ascii="Calibri" w:hAnsi="Calibri"/>
                <w:b/>
                <w:color w:val="FFFFFF"/>
                <w:sz w:val="22"/>
              </w:rPr>
              <w:t>2Q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2Q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($M)</w:t>
            </w:r>
          </w:p>
        </w:tc>
        <w:tc>
          <w:tcPr>
            <w:tcW w:type="dxa" w:w="1234"/>
          </w:tcPr>
          <w:p>
            <w:r>
              <w:rPr>
                <w:rFonts w:ascii="Calibri" w:hAnsi="Calibri"/>
                <w:sz w:val="22"/>
              </w:rPr>
              <w:t>$947.1M</w:t>
            </w:r>
          </w:p>
        </w:tc>
        <w:tc>
          <w:tcPr>
            <w:tcW w:type="dxa" w:w="1234"/>
          </w:tcPr>
          <w:p>
            <w:r>
              <w:rPr>
                <w:rFonts w:ascii="Calibri" w:hAnsi="Calibri"/>
                <w:sz w:val="22"/>
              </w:rPr>
              <w:t>$983.2M</w:t>
            </w:r>
          </w:p>
        </w:tc>
        <w:tc>
          <w:tcPr>
            <w:tcW w:type="dxa" w:w="1234"/>
          </w:tcPr>
          <w:p>
            <w:r>
              <w:rPr>
                <w:rFonts w:ascii="Calibri" w:hAnsi="Calibri"/>
                <w:sz w:val="22"/>
              </w:rPr>
              <w:t>$1,029.7M</w:t>
            </w:r>
          </w:p>
        </w:tc>
        <w:tc>
          <w:tcPr>
            <w:tcW w:type="dxa" w:w="1234"/>
          </w:tcPr>
          <w:p>
            <w:r>
              <w:rPr>
                <w:rFonts w:ascii="Calibri" w:hAnsi="Calibri"/>
                <w:sz w:val="22"/>
              </w:rPr>
              <w:t>+4.7% YoY</w:t>
            </w:r>
          </w:p>
        </w:tc>
        <w:tc>
          <w:tcPr>
            <w:tcW w:type="dxa" w:w="1234"/>
          </w:tcPr>
          <w:p>
            <w:r>
              <w:rPr>
                <w:rFonts w:ascii="Calibri" w:hAnsi="Calibri"/>
                <w:sz w:val="22"/>
              </w:rPr>
              <w:t>~+3% LC growth</w:t>
            </w:r>
          </w:p>
        </w:tc>
        <w:tc>
          <w:tcPr>
            <w:tcW w:type="dxa" w:w="1234"/>
          </w:tcPr>
          <w:p>
            <w:r>
              <w:rPr>
                <w:rFonts w:ascii="Calibri" w:hAnsi="Calibri"/>
                <w:sz w:val="22"/>
              </w:rPr>
              <w:t>N/A (guidance in LC%)</w:t>
            </w:r>
          </w:p>
        </w:tc>
      </w:tr>
      <w:tr>
        <w:tc>
          <w:tcPr>
            <w:tcW w:type="dxa" w:w="1234"/>
          </w:tcPr>
          <w:p>
            <w:r>
              <w:rPr>
                <w:rFonts w:ascii="Calibri" w:hAnsi="Calibri"/>
                <w:sz w:val="22"/>
              </w:rPr>
              <w:t>Diluted EPS — Operating ($)</w:t>
            </w:r>
          </w:p>
        </w:tc>
        <w:tc>
          <w:tcPr>
            <w:tcW w:type="dxa" w:w="1234"/>
          </w:tcPr>
          <w:p>
            <w:r>
              <w:rPr>
                <w:rFonts w:ascii="Calibri" w:hAnsi="Calibri"/>
                <w:sz w:val="22"/>
              </w:rPr>
              <w:t>$8.91</w:t>
            </w:r>
          </w:p>
        </w:tc>
        <w:tc>
          <w:tcPr>
            <w:tcW w:type="dxa" w:w="1234"/>
          </w:tcPr>
          <w:p>
            <w:r>
              <w:rPr>
                <w:rFonts w:ascii="Calibri" w:hAnsi="Calibri"/>
                <w:sz w:val="22"/>
              </w:rPr>
              <w:t>$10.09</w:t>
            </w:r>
          </w:p>
        </w:tc>
        <w:tc>
          <w:tcPr>
            <w:tcW w:type="dxa" w:w="1234"/>
          </w:tcPr>
          <w:p>
            <w:r>
              <w:rPr>
                <w:rFonts w:ascii="Calibri" w:hAnsi="Calibri"/>
                <w:sz w:val="22"/>
              </w:rPr>
              <w:t>$10.81</w:t>
            </w:r>
          </w:p>
        </w:tc>
        <w:tc>
          <w:tcPr>
            <w:tcW w:type="dxa" w:w="1234"/>
          </w:tcPr>
          <w:p>
            <w:r>
              <w:rPr>
                <w:rFonts w:ascii="Calibri" w:hAnsi="Calibri"/>
                <w:sz w:val="22"/>
              </w:rPr>
              <w:t>+7.1% YoY</w:t>
            </w:r>
          </w:p>
        </w:tc>
        <w:tc>
          <w:tcPr>
            <w:tcW w:type="dxa" w:w="1234"/>
          </w:tcPr>
          <w:p>
            <w:r>
              <w:rPr>
                <w:rFonts w:ascii="Calibri" w:hAnsi="Calibri"/>
                <w:sz w:val="22"/>
              </w:rPr>
              <w:t>$10.70–$10.85 (mid: $10.775)</w:t>
            </w:r>
          </w:p>
        </w:tc>
        <w:tc>
          <w:tcPr>
            <w:tcW w:type="dxa" w:w="1234"/>
          </w:tcPr>
          <w:p>
            <w:r>
              <w:rPr>
                <w:rFonts w:ascii="Calibri" w:hAnsi="Calibri"/>
                <w:sz w:val="22"/>
              </w:rPr>
              <w:t>+0.3% above midpoint</w:t>
            </w:r>
          </w:p>
        </w:tc>
      </w:tr>
      <w:tr>
        <w:tc>
          <w:tcPr>
            <w:tcW w:type="dxa" w:w="1234"/>
          </w:tcPr>
          <w:p>
            <w:r>
              <w:rPr>
                <w:rFonts w:ascii="Calibri" w:hAnsi="Calibri"/>
                <w:sz w:val="22"/>
              </w:rPr>
              <w:t>Organic Growth (%)</w:t>
            </w:r>
          </w:p>
        </w:tc>
        <w:tc>
          <w:tcPr>
            <w:tcW w:type="dxa" w:w="1234"/>
          </w:tcPr>
          <w:p>
            <w:r>
              <w:rPr>
                <w:rFonts w:ascii="Calibri" w:hAnsi="Calibri"/>
                <w:sz w:val="22"/>
              </w:rPr>
              <w:t>+1.5%</w:t>
            </w:r>
          </w:p>
        </w:tc>
        <w:tc>
          <w:tcPr>
            <w:tcW w:type="dxa" w:w="1234"/>
          </w:tcPr>
          <w:p>
            <w:r>
              <w:rPr>
                <w:rFonts w:ascii="Calibri" w:hAnsi="Calibri"/>
                <w:sz w:val="22"/>
              </w:rPr>
              <w:t>+1.9%</w:t>
            </w:r>
          </w:p>
        </w:tc>
        <w:tc>
          <w:tcPr>
            <w:tcW w:type="dxa" w:w="1234"/>
          </w:tcPr>
          <w:p>
            <w:r>
              <w:rPr>
                <w:rFonts w:ascii="Calibri" w:hAnsi="Calibri"/>
                <w:sz w:val="22"/>
              </w:rPr>
              <w:t>~+2.0%</w:t>
            </w:r>
          </w:p>
        </w:tc>
        <w:tc>
          <w:tcPr>
            <w:tcW w:type="dxa" w:w="1234"/>
          </w:tcPr>
          <w:p>
            <w:r>
              <w:rPr>
                <w:rFonts w:ascii="Calibri" w:hAnsi="Calibri"/>
                <w:sz w:val="22"/>
              </w:rPr>
              <w:t>~+0.1pp YoY</w:t>
            </w:r>
          </w:p>
        </w:tc>
        <w:tc>
          <w:tcPr>
            <w:tcW w:type="dxa" w:w="1234"/>
          </w:tcPr>
          <w:p>
            <w:r>
              <w:rPr>
                <w:rFonts w:ascii="Calibri" w:hAnsi="Calibri"/>
                <w:sz w:val="22"/>
              </w:rPr>
              <w:t>~+1.5% organic (incl. ~1.5% acq.)</w:t>
            </w:r>
          </w:p>
        </w:tc>
        <w:tc>
          <w:tcPr>
            <w:tcW w:type="dxa" w:w="1234"/>
          </w:tcPr>
          <w:p>
            <w:r>
              <w:rPr>
                <w:rFonts w:ascii="Calibri" w:hAnsi="Calibri"/>
                <w:sz w:val="22"/>
              </w:rPr>
              <w:t>~In line</w:t>
            </w:r>
          </w:p>
        </w:tc>
      </w:tr>
      <w:tr>
        <w:tc>
          <w:tcPr>
            <w:tcW w:type="dxa" w:w="1234"/>
          </w:tcPr>
          <w:p>
            <w:r>
              <w:rPr>
                <w:rFonts w:ascii="Calibri" w:hAnsi="Calibri"/>
                <w:sz w:val="22"/>
              </w:rPr>
              <w:t>Adj. Operating Income ($M)</w:t>
            </w:r>
          </w:p>
        </w:tc>
        <w:tc>
          <w:tcPr>
            <w:tcW w:type="dxa" w:w="1234"/>
          </w:tcPr>
          <w:p>
            <w:r>
              <w:rPr>
                <w:rFonts w:ascii="Calibri" w:hAnsi="Calibri"/>
                <w:sz w:val="22"/>
              </w:rPr>
              <w:t>$246.2M</w:t>
            </w:r>
          </w:p>
        </w:tc>
        <w:tc>
          <w:tcPr>
            <w:tcW w:type="dxa" w:w="1234"/>
          </w:tcPr>
          <w:p>
            <w:r>
              <w:rPr>
                <w:rFonts w:ascii="Calibri" w:hAnsi="Calibri"/>
                <w:sz w:val="22"/>
              </w:rPr>
              <w:t>$283.3M</w:t>
            </w:r>
          </w:p>
        </w:tc>
        <w:tc>
          <w:tcPr>
            <w:tcW w:type="dxa" w:w="1234"/>
          </w:tcPr>
          <w:p>
            <w:r>
              <w:rPr>
                <w:rFonts w:ascii="Calibri" w:hAnsi="Calibri"/>
                <w:sz w:val="22"/>
              </w:rPr>
              <w:t>$295.1M</w:t>
            </w:r>
          </w:p>
        </w:tc>
        <w:tc>
          <w:tcPr>
            <w:tcW w:type="dxa" w:w="1234"/>
          </w:tcPr>
          <w:p>
            <w:r>
              <w:rPr>
                <w:rFonts w:ascii="Calibri" w:hAnsi="Calibri"/>
                <w:sz w:val="22"/>
              </w:rPr>
              <w:t>+4.2%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Service Revenue ($M)</w:t>
            </w:r>
          </w:p>
        </w:tc>
        <w:tc>
          <w:tcPr>
            <w:tcW w:type="dxa" w:w="1234"/>
          </w:tcPr>
          <w:p>
            <w:r>
              <w:rPr>
                <w:rFonts w:ascii="Calibri" w:hAnsi="Calibri"/>
                <w:sz w:val="22"/>
              </w:rPr>
              <w:t>$262.9M</w:t>
            </w:r>
          </w:p>
        </w:tc>
        <w:tc>
          <w:tcPr>
            <w:tcW w:type="dxa" w:w="1234"/>
          </w:tcPr>
          <w:p>
            <w:r>
              <w:rPr>
                <w:rFonts w:ascii="Calibri" w:hAnsi="Calibri"/>
                <w:sz w:val="22"/>
              </w:rPr>
              <w:t>$249.0M</w:t>
            </w:r>
          </w:p>
        </w:tc>
        <w:tc>
          <w:tcPr>
            <w:tcW w:type="dxa" w:w="1234"/>
          </w:tcPr>
          <w:p>
            <w:r>
              <w:rPr>
                <w:rFonts w:ascii="Calibri" w:hAnsi="Calibri"/>
                <w:sz w:val="22"/>
              </w:rPr>
              <w:t>$265.7M</w:t>
            </w:r>
          </w:p>
        </w:tc>
        <w:tc>
          <w:tcPr>
            <w:tcW w:type="dxa" w:w="1234"/>
          </w:tcPr>
          <w:p>
            <w:r>
              <w:rPr>
                <w:rFonts w:ascii="Calibri" w:hAnsi="Calibri"/>
                <w:sz w:val="22"/>
              </w:rPr>
              <w:t>+6.7% YoY</w:t>
            </w:r>
          </w:p>
        </w:tc>
        <w:tc>
          <w:tcPr>
            <w:tcW w:type="dxa" w:w="1234"/>
          </w:tcPr>
          <w:p>
            <w:r>
              <w:rPr>
                <w:rFonts w:ascii="Calibri" w:hAnsi="Calibri"/>
                <w:sz w:val="22"/>
              </w:rPr>
              <w:t>Continued outgrowth vs. products</w:t>
            </w:r>
          </w:p>
        </w:tc>
        <w:tc>
          <w:tcPr>
            <w:tcW w:type="dxa" w:w="1234"/>
          </w:tcPr>
          <w:p>
            <w:r>
              <w:rPr>
                <w:rFonts w:ascii="Calibri" w:hAnsi="Calibri"/>
                <w:sz w:val="22"/>
              </w:rPr>
              <w:t>N/A</w:t>
            </w:r>
          </w:p>
        </w:tc>
      </w:tr>
      <w:tr>
        <w:tc>
          <w:tcPr>
            <w:tcW w:type="dxa" w:w="1234"/>
          </w:tcPr>
          <w:p>
            <w:r>
              <w:rPr>
                <w:rFonts w:ascii="Calibri" w:hAnsi="Calibri"/>
                <w:sz w:val="22"/>
              </w:rPr>
              <w:t>Lab Revenue ($M)</w:t>
            </w:r>
          </w:p>
        </w:tc>
        <w:tc>
          <w:tcPr>
            <w:tcW w:type="dxa" w:w="1234"/>
          </w:tcPr>
          <w:p>
            <w:r>
              <w:rPr>
                <w:rFonts w:ascii="Calibri" w:hAnsi="Calibri"/>
                <w:sz w:val="22"/>
              </w:rPr>
              <w:t>$524.6M</w:t>
            </w:r>
          </w:p>
        </w:tc>
        <w:tc>
          <w:tcPr>
            <w:tcW w:type="dxa" w:w="1234"/>
          </w:tcPr>
          <w:p>
            <w:r>
              <w:rPr>
                <w:rFonts w:ascii="Calibri" w:hAnsi="Calibri"/>
                <w:sz w:val="22"/>
              </w:rPr>
              <w:t>$537.9M</w:t>
            </w:r>
          </w:p>
        </w:tc>
        <w:tc>
          <w:tcPr>
            <w:tcW w:type="dxa" w:w="1234"/>
          </w:tcPr>
          <w:p>
            <w:r>
              <w:rPr>
                <w:rFonts w:ascii="Calibri" w:hAnsi="Calibri"/>
                <w:sz w:val="22"/>
              </w:rPr>
              <w:t>$559.2M</w:t>
            </w:r>
          </w:p>
        </w:tc>
        <w:tc>
          <w:tcPr>
            <w:tcW w:type="dxa" w:w="1234"/>
          </w:tcPr>
          <w:p>
            <w:r>
              <w:rPr>
                <w:rFonts w:ascii="Calibri" w:hAnsi="Calibri"/>
                <w:sz w:val="22"/>
              </w:rPr>
              <w:t>+4.0% YoY</w:t>
            </w:r>
          </w:p>
        </w:tc>
        <w:tc>
          <w:tcPr>
            <w:tcW w:type="dxa" w:w="1234"/>
          </w:tcPr>
          <w:p>
            <w:r>
              <w:rPr>
                <w:rFonts w:ascii="Calibri" w:hAnsi="Calibri"/>
                <w:sz w:val="22"/>
              </w:rPr>
              <w:t>Low to mid-SD (organic: low-SD)</w:t>
            </w:r>
          </w:p>
        </w:tc>
        <w:tc>
          <w:tcPr>
            <w:tcW w:type="dxa" w:w="1234"/>
          </w:tcPr>
          <w:p>
            <w:r>
              <w:rPr>
                <w:rFonts w:ascii="Calibri" w:hAnsi="Calibri"/>
                <w:sz w:val="22"/>
              </w:rPr>
              <w:t>N/A</w:t>
            </w:r>
          </w:p>
        </w:tc>
      </w:tr>
      <w:tr>
        <w:tc>
          <w:tcPr>
            <w:tcW w:type="dxa" w:w="1234"/>
          </w:tcPr>
          <w:p>
            <w:r>
              <w:rPr>
                <w:rFonts w:ascii="Calibri" w:hAnsi="Calibri"/>
                <w:sz w:val="22"/>
              </w:rPr>
              <w:t>Industrial Revenue ($M)</w:t>
            </w:r>
          </w:p>
        </w:tc>
        <w:tc>
          <w:tcPr>
            <w:tcW w:type="dxa" w:w="1234"/>
          </w:tcPr>
          <w:p>
            <w:r>
              <w:rPr>
                <w:rFonts w:ascii="Calibri" w:hAnsi="Calibri"/>
                <w:sz w:val="22"/>
              </w:rPr>
              <w:t>$374.6M</w:t>
            </w:r>
          </w:p>
        </w:tc>
        <w:tc>
          <w:tcPr>
            <w:tcW w:type="dxa" w:w="1234"/>
          </w:tcPr>
          <w:p>
            <w:r>
              <w:rPr>
                <w:rFonts w:ascii="Calibri" w:hAnsi="Calibri"/>
                <w:sz w:val="22"/>
              </w:rPr>
              <w:t>$394.6M</w:t>
            </w:r>
          </w:p>
        </w:tc>
        <w:tc>
          <w:tcPr>
            <w:tcW w:type="dxa" w:w="1234"/>
          </w:tcPr>
          <w:p>
            <w:r>
              <w:rPr>
                <w:rFonts w:ascii="Calibri" w:hAnsi="Calibri"/>
                <w:sz w:val="22"/>
              </w:rPr>
              <w:t>$413.9M</w:t>
            </w:r>
          </w:p>
        </w:tc>
        <w:tc>
          <w:tcPr>
            <w:tcW w:type="dxa" w:w="1234"/>
          </w:tcPr>
          <w:p>
            <w:r>
              <w:rPr>
                <w:rFonts w:ascii="Calibri" w:hAnsi="Calibri"/>
                <w:sz w:val="22"/>
              </w:rPr>
              <w:t>+4.9% YoY</w:t>
            </w:r>
          </w:p>
        </w:tc>
        <w:tc>
          <w:tcPr>
            <w:tcW w:type="dxa" w:w="1234"/>
          </w:tcPr>
          <w:p>
            <w:r>
              <w:rPr>
                <w:rFonts w:ascii="Calibri" w:hAnsi="Calibri"/>
                <w:sz w:val="22"/>
              </w:rPr>
              <w:t>Low-SD organic; mid-SD total</w:t>
            </w:r>
          </w:p>
        </w:tc>
        <w:tc>
          <w:tcPr>
            <w:tcW w:type="dxa" w:w="1234"/>
          </w:tcPr>
          <w:p>
            <w:r>
              <w:rPr>
                <w:rFonts w:ascii="Calibri" w:hAnsi="Calibri"/>
                <w:sz w:val="22"/>
              </w:rPr>
              <w:t>N/A</w:t>
            </w:r>
          </w:p>
        </w:tc>
      </w:tr>
    </w:tbl>
    <w:p>
      <w:r>
        <w:rPr>
          <w:rFonts w:ascii="Calibri" w:hAnsi="Calibri"/>
          <w:color w:val="525866"/>
          <w:sz w:val="22"/>
        </w:rPr>
        <w:t>Sources: Visible Alpha Consensus and Actuals Data; MTD Q1 2026 Earnings Release and Transcript (May 7–8, 2026). LC = local currency. SD = single digit. Acq. = acquisition contribution.</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Diluted EPS —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$8.91</w:t>
            </w:r>
          </w:p>
        </w:tc>
        <w:tc>
          <w:tcPr>
            <w:tcW w:type="dxa" w:w="1728"/>
          </w:tcPr>
          <w:p>
            <w:r>
              <w:rPr>
                <w:rFonts w:ascii="Calibri" w:hAnsi="Calibri"/>
                <w:sz w:val="22"/>
              </w:rPr>
              <w:t>$8.69</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4Q 2025</w:t>
            </w:r>
          </w:p>
        </w:tc>
        <w:tc>
          <w:tcPr>
            <w:tcW w:type="dxa" w:w="1728"/>
          </w:tcPr>
          <w:p>
            <w:r>
              <w:rPr>
                <w:rFonts w:ascii="Calibri" w:hAnsi="Calibri"/>
                <w:sz w:val="22"/>
              </w:rPr>
              <w:t>$13.36</w:t>
            </w:r>
          </w:p>
        </w:tc>
        <w:tc>
          <w:tcPr>
            <w:tcW w:type="dxa" w:w="1728"/>
          </w:tcPr>
          <w:p>
            <w:r>
              <w:rPr>
                <w:rFonts w:ascii="Calibri" w:hAnsi="Calibri"/>
                <w:sz w:val="22"/>
              </w:rPr>
              <w:t>$12.78</w:t>
            </w:r>
          </w:p>
        </w:tc>
        <w:tc>
          <w:tcPr>
            <w:tcW w:type="dxa" w:w="1728"/>
          </w:tcPr>
          <w:p>
            <w:r>
              <w:rPr>
                <w:rFonts w:ascii="Calibri" w:hAnsi="Calibri"/>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3Q 2025</w:t>
            </w:r>
          </w:p>
        </w:tc>
        <w:tc>
          <w:tcPr>
            <w:tcW w:type="dxa" w:w="1728"/>
          </w:tcPr>
          <w:p>
            <w:r>
              <w:rPr>
                <w:rFonts w:ascii="Calibri" w:hAnsi="Calibri"/>
                <w:sz w:val="22"/>
              </w:rPr>
              <w:t>$11.15</w:t>
            </w:r>
          </w:p>
        </w:tc>
        <w:tc>
          <w:tcPr>
            <w:tcW w:type="dxa" w:w="1728"/>
          </w:tcPr>
          <w:p>
            <w:r>
              <w:rPr>
                <w:rFonts w:ascii="Calibri" w:hAnsi="Calibri"/>
                <w:sz w:val="22"/>
              </w:rPr>
              <w:t>$10.66</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2Q 2025</w:t>
            </w:r>
          </w:p>
        </w:tc>
        <w:tc>
          <w:tcPr>
            <w:tcW w:type="dxa" w:w="1728"/>
          </w:tcPr>
          <w:p>
            <w:r>
              <w:rPr>
                <w:rFonts w:ascii="Calibri" w:hAnsi="Calibri"/>
                <w:sz w:val="22"/>
              </w:rPr>
              <w:t>$10.09</w:t>
            </w:r>
          </w:p>
        </w:tc>
        <w:tc>
          <w:tcPr>
            <w:tcW w:type="dxa" w:w="1728"/>
          </w:tcPr>
          <w:p>
            <w:r>
              <w:rPr>
                <w:rFonts w:ascii="Calibri" w:hAnsi="Calibri"/>
                <w:sz w:val="22"/>
              </w:rPr>
              <w:t>$9.58</w:t>
            </w:r>
          </w:p>
        </w:tc>
        <w:tc>
          <w:tcPr>
            <w:tcW w:type="dxa" w:w="1728"/>
          </w:tcPr>
          <w:p>
            <w:r>
              <w:rPr>
                <w:rFonts w:ascii="Calibri" w:hAnsi="Calibri"/>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1Q 2025</w:t>
            </w:r>
          </w:p>
        </w:tc>
        <w:tc>
          <w:tcPr>
            <w:tcW w:type="dxa" w:w="1728"/>
          </w:tcPr>
          <w:p>
            <w:r>
              <w:rPr>
                <w:rFonts w:ascii="Calibri" w:hAnsi="Calibri"/>
                <w:sz w:val="22"/>
              </w:rPr>
              <w:t>$8.19</w:t>
            </w:r>
          </w:p>
        </w:tc>
        <w:tc>
          <w:tcPr>
            <w:tcW w:type="dxa" w:w="1728"/>
          </w:tcPr>
          <w:p>
            <w:r>
              <w:rPr>
                <w:rFonts w:ascii="Calibri" w:hAnsi="Calibri"/>
                <w:sz w:val="22"/>
              </w:rPr>
              <w:t>$7.88</w:t>
            </w:r>
          </w:p>
        </w:tc>
        <w:tc>
          <w:tcPr>
            <w:tcW w:type="dxa" w:w="1728"/>
          </w:tcPr>
          <w:p>
            <w:r>
              <w:rPr>
                <w:rFonts w:ascii="Calibri" w:hAnsi="Calibri"/>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4Q 2024</w:t>
            </w:r>
          </w:p>
        </w:tc>
        <w:tc>
          <w:tcPr>
            <w:tcW w:type="dxa" w:w="1728"/>
          </w:tcPr>
          <w:p>
            <w:r>
              <w:rPr>
                <w:rFonts w:ascii="Calibri" w:hAnsi="Calibri"/>
                <w:sz w:val="22"/>
              </w:rPr>
              <w:t>$12.41</w:t>
            </w:r>
          </w:p>
        </w:tc>
        <w:tc>
          <w:tcPr>
            <w:tcW w:type="dxa" w:w="1728"/>
          </w:tcPr>
          <w:p>
            <w:r>
              <w:rPr>
                <w:rFonts w:ascii="Calibri" w:hAnsi="Calibri"/>
                <w:sz w:val="22"/>
              </w:rPr>
              <w:t>$11.71</w:t>
            </w:r>
          </w:p>
        </w:tc>
        <w:tc>
          <w:tcPr>
            <w:tcW w:type="dxa" w:w="1728"/>
          </w:tcPr>
          <w:p>
            <w:r>
              <w:rPr>
                <w:rFonts w:ascii="Calibri" w:hAnsi="Calibri"/>
                <w:sz w:val="22"/>
              </w:rPr>
              <w:t>+6.0%</w:t>
            </w:r>
          </w:p>
        </w:tc>
        <w:tc>
          <w:tcPr>
            <w:tcW w:type="dxa" w:w="1728"/>
          </w:tcPr>
          <w:p>
            <w:r>
              <w:rPr>
                <w:rFonts w:ascii="Calibri" w:hAnsi="Calibri"/>
                <w:b/>
                <w:color w:val="30A46C"/>
                <w:sz w:val="22"/>
              </w:rPr>
              <w:t>Beat</w:t>
            </w:r>
          </w:p>
        </w:tc>
      </w:tr>
      <w:tr>
        <w:tc>
          <w:tcPr>
            <w:tcW w:type="dxa" w:w="1728"/>
          </w:tcPr>
          <w:p>
            <w:r>
              <w:rPr>
                <w:rFonts w:ascii="Calibri" w:hAnsi="Calibri"/>
                <w:sz w:val="22"/>
              </w:rPr>
              <w:t>3Q 2024</w:t>
            </w:r>
          </w:p>
        </w:tc>
        <w:tc>
          <w:tcPr>
            <w:tcW w:type="dxa" w:w="1728"/>
          </w:tcPr>
          <w:p>
            <w:r>
              <w:rPr>
                <w:rFonts w:ascii="Calibri" w:hAnsi="Calibri"/>
                <w:sz w:val="22"/>
              </w:rPr>
              <w:t>$10.21</w:t>
            </w:r>
          </w:p>
        </w:tc>
        <w:tc>
          <w:tcPr>
            <w:tcW w:type="dxa" w:w="1728"/>
          </w:tcPr>
          <w:p>
            <w:r>
              <w:rPr>
                <w:rFonts w:ascii="Calibri" w:hAnsi="Calibri"/>
                <w:sz w:val="22"/>
              </w:rPr>
              <w:t>$10.02</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2Q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Net Sales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$947.1M</w:t>
            </w:r>
          </w:p>
        </w:tc>
        <w:tc>
          <w:tcPr>
            <w:tcW w:type="dxa" w:w="1728"/>
          </w:tcPr>
          <w:p>
            <w:r>
              <w:rPr>
                <w:rFonts w:ascii="Calibri" w:hAnsi="Calibri"/>
                <w:sz w:val="22"/>
              </w:rPr>
              <w:t>$941.6M</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4Q 2025</w:t>
            </w:r>
          </w:p>
        </w:tc>
        <w:tc>
          <w:tcPr>
            <w:tcW w:type="dxa" w:w="1728"/>
          </w:tcPr>
          <w:p>
            <w:r>
              <w:rPr>
                <w:rFonts w:ascii="Calibri" w:hAnsi="Calibri"/>
                <w:sz w:val="22"/>
              </w:rPr>
              <w:t>$1,129.7M</w:t>
            </w:r>
          </w:p>
        </w:tc>
        <w:tc>
          <w:tcPr>
            <w:tcW w:type="dxa" w:w="1728"/>
          </w:tcPr>
          <w:p>
            <w:r>
              <w:rPr>
                <w:rFonts w:ascii="Calibri" w:hAnsi="Calibri"/>
                <w:sz w:val="22"/>
              </w:rPr>
              <w:t>$1,104.2M</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3Q 2025</w:t>
            </w:r>
          </w:p>
        </w:tc>
        <w:tc>
          <w:tcPr>
            <w:tcW w:type="dxa" w:w="1728"/>
          </w:tcPr>
          <w:p>
            <w:r>
              <w:rPr>
                <w:rFonts w:ascii="Calibri" w:hAnsi="Calibri"/>
                <w:sz w:val="22"/>
              </w:rPr>
              <w:t>$1,029.7M</w:t>
            </w:r>
          </w:p>
        </w:tc>
        <w:tc>
          <w:tcPr>
            <w:tcW w:type="dxa" w:w="1728"/>
          </w:tcPr>
          <w:p>
            <w:r>
              <w:rPr>
                <w:rFonts w:ascii="Calibri" w:hAnsi="Calibri"/>
                <w:sz w:val="22"/>
              </w:rPr>
              <w:t>$997.5M</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2Q 2025</w:t>
            </w:r>
          </w:p>
        </w:tc>
        <w:tc>
          <w:tcPr>
            <w:tcW w:type="dxa" w:w="1728"/>
          </w:tcPr>
          <w:p>
            <w:r>
              <w:rPr>
                <w:rFonts w:ascii="Calibri" w:hAnsi="Calibri"/>
                <w:sz w:val="22"/>
              </w:rPr>
              <w:t>$983.2M</w:t>
            </w:r>
          </w:p>
        </w:tc>
        <w:tc>
          <w:tcPr>
            <w:tcW w:type="dxa" w:w="1728"/>
          </w:tcPr>
          <w:p>
            <w:r>
              <w:rPr>
                <w:rFonts w:ascii="Calibri" w:hAnsi="Calibri"/>
                <w:sz w:val="22"/>
              </w:rPr>
              <w:t>$955.4M</w:t>
            </w:r>
          </w:p>
        </w:tc>
        <w:tc>
          <w:tcPr>
            <w:tcW w:type="dxa" w:w="1728"/>
          </w:tcPr>
          <w:p>
            <w:r>
              <w:rPr>
                <w:rFonts w:ascii="Calibri" w:hAnsi="Calibri"/>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1Q 2025</w:t>
            </w:r>
          </w:p>
        </w:tc>
        <w:tc>
          <w:tcPr>
            <w:tcW w:type="dxa" w:w="1728"/>
          </w:tcPr>
          <w:p>
            <w:r>
              <w:rPr>
                <w:rFonts w:ascii="Calibri" w:hAnsi="Calibri"/>
                <w:sz w:val="22"/>
              </w:rPr>
              <w:t>$883.7M</w:t>
            </w:r>
          </w:p>
        </w:tc>
        <w:tc>
          <w:tcPr>
            <w:tcW w:type="dxa" w:w="1728"/>
          </w:tcPr>
          <w:p>
            <w:r>
              <w:rPr>
                <w:rFonts w:ascii="Calibri" w:hAnsi="Calibri"/>
                <w:sz w:val="22"/>
              </w:rPr>
              <w:t>$875.1M</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4Q 2024</w:t>
            </w:r>
          </w:p>
        </w:tc>
        <w:tc>
          <w:tcPr>
            <w:tcW w:type="dxa" w:w="1728"/>
          </w:tcPr>
          <w:p>
            <w:r>
              <w:rPr>
                <w:rFonts w:ascii="Calibri" w:hAnsi="Calibri"/>
                <w:sz w:val="22"/>
              </w:rPr>
              <w:t>$1,045.1M</w:t>
            </w:r>
          </w:p>
        </w:tc>
        <w:tc>
          <w:tcPr>
            <w:tcW w:type="dxa" w:w="1728"/>
          </w:tcPr>
          <w:p>
            <w:r>
              <w:rPr>
                <w:rFonts w:ascii="Calibri" w:hAnsi="Calibri"/>
                <w:sz w:val="22"/>
              </w:rPr>
              <w:t>$1,008.7M</w:t>
            </w:r>
          </w:p>
        </w:tc>
        <w:tc>
          <w:tcPr>
            <w:tcW w:type="dxa" w:w="1728"/>
          </w:tcPr>
          <w:p>
            <w:r>
              <w:rPr>
                <w:rFonts w:ascii="Calibri" w:hAnsi="Calibri"/>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3Q 2024</w:t>
            </w:r>
          </w:p>
        </w:tc>
        <w:tc>
          <w:tcPr>
            <w:tcW w:type="dxa" w:w="1728"/>
          </w:tcPr>
          <w:p>
            <w:r>
              <w:rPr>
                <w:rFonts w:ascii="Calibri" w:hAnsi="Calibri"/>
                <w:sz w:val="22"/>
              </w:rPr>
              <w:t>$954.5M</w:t>
            </w:r>
          </w:p>
        </w:tc>
        <w:tc>
          <w:tcPr>
            <w:tcW w:type="dxa" w:w="1728"/>
          </w:tcPr>
          <w:p>
            <w:r>
              <w:rPr>
                <w:rFonts w:ascii="Calibri" w:hAnsi="Calibri"/>
                <w:sz w:val="22"/>
              </w:rPr>
              <w:t>$945.0M</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2Q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MTD has beaten consensus on both EPS and revenue in every reported quarter over the trailing 7 quarters, with EPS beats averaging ~4% and revenue beats averaging ~2%. This consistent beat pattern suggests management guides conservatively, but the stock's post-Q1 recovery already prices in some of this tendency.</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changed since the Q1 2026 earnings call (May 7–8, 2026). Management's tone was cautiously constructive — they raised full-year EPS guidance while flagging macro uncertainty, Middle East energy cost inflation, and customer delays. </w:t>
      </w:r>
      <w:r>
        <w:rPr>
          <w:rFonts w:ascii="Calibri" w:hAnsi="Calibri"/>
          <w:b/>
          <w:color w:val="525866"/>
          <w:sz w:val="22"/>
        </w:rPr>
        <w:t>No post-earnings guidance revisions or 8-K updates have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2Q 2026 Adj. EPS</w:t>
            </w:r>
          </w:p>
        </w:tc>
        <w:tc>
          <w:tcPr>
            <w:tcW w:type="dxa" w:w="1728"/>
          </w:tcPr>
          <w:p>
            <w:r>
              <w:rPr>
                <w:rFonts w:ascii="Calibri" w:hAnsi="Calibri"/>
                <w:sz w:val="22"/>
              </w:rPr>
              <w:t>$10.70–$10.85 (+6% to +8% growth)</w:t>
            </w:r>
          </w:p>
        </w:tc>
        <w:tc>
          <w:tcPr>
            <w:tcW w:type="dxa" w:w="1728"/>
          </w:tcPr>
          <w:p>
            <w:r>
              <w:rPr>
                <w:rFonts w:ascii="Calibri" w:hAnsi="Calibri"/>
                <w:sz w:val="22"/>
              </w:rPr>
              <w:t>—</w:t>
            </w:r>
          </w:p>
        </w:tc>
        <w:tc>
          <w:tcPr>
            <w:tcW w:type="dxa" w:w="1728"/>
          </w:tcPr>
          <w:p>
            <w:r>
              <w:rPr>
                <w:rFonts w:ascii="Calibri" w:hAnsi="Calibri"/>
                <w:sz w:val="22"/>
              </w:rPr>
              <w:t>$10.81</w:t>
            </w:r>
          </w:p>
        </w:tc>
        <w:tc>
          <w:tcPr>
            <w:tcW w:type="dxa" w:w="1728"/>
          </w:tcPr>
          <w:p>
            <w:r>
              <w:rPr>
                <w:rFonts w:ascii="Calibri" w:hAnsi="Calibri"/>
                <w:sz w:val="22"/>
              </w:rPr>
              <w:t>No post-earnings update; consensus sits +0.3% above midpoint</w:t>
            </w:r>
          </w:p>
        </w:tc>
      </w:tr>
      <w:tr>
        <w:tc>
          <w:tcPr>
            <w:tcW w:type="dxa" w:w="1728"/>
          </w:tcPr>
          <w:p>
            <w:r>
              <w:rPr>
                <w:rFonts w:ascii="Calibri" w:hAnsi="Calibri"/>
                <w:sz w:val="22"/>
              </w:rPr>
              <w:t>2Q 2026 LC Sales Growth</w:t>
            </w:r>
          </w:p>
        </w:tc>
        <w:tc>
          <w:tcPr>
            <w:tcW w:type="dxa" w:w="1728"/>
          </w:tcPr>
          <w:p>
            <w:r>
              <w:rPr>
                <w:rFonts w:ascii="Calibri" w:hAnsi="Calibri"/>
                <w:sz w:val="22"/>
              </w:rPr>
              <w:t>~+3% (incl. ~1.5% from acquisitions)</w:t>
            </w:r>
          </w:p>
        </w:tc>
        <w:tc>
          <w:tcPr>
            <w:tcW w:type="dxa" w:w="1728"/>
          </w:tcPr>
          <w:p>
            <w:r>
              <w:rPr>
                <w:rFonts w:ascii="Calibri" w:hAnsi="Calibri"/>
                <w:sz w:val="22"/>
              </w:rPr>
              <w:t>—</w:t>
            </w:r>
          </w:p>
        </w:tc>
        <w:tc>
          <w:tcPr>
            <w:tcW w:type="dxa" w:w="1728"/>
          </w:tcPr>
          <w:p>
            <w:r>
              <w:rPr>
                <w:rFonts w:ascii="Calibri" w:hAnsi="Calibri"/>
                <w:sz w:val="22"/>
              </w:rPr>
              <w:t>~+4.7% reported (consensus $1,029.7M vs. $983.2M PY)</w:t>
            </w:r>
          </w:p>
        </w:tc>
        <w:tc>
          <w:tcPr>
            <w:tcW w:type="dxa" w:w="1728"/>
          </w:tcPr>
          <w:p>
            <w:r>
              <w:rPr>
                <w:rFonts w:ascii="Calibri" w:hAnsi="Calibri"/>
                <w:sz w:val="22"/>
              </w:rPr>
              <w:t>FX tailwind of ~2% adds to reported growth above LC guidance</w:t>
            </w:r>
          </w:p>
        </w:tc>
      </w:tr>
      <w:tr>
        <w:tc>
          <w:tcPr>
            <w:tcW w:type="dxa" w:w="1728"/>
          </w:tcPr>
          <w:p>
            <w:r>
              <w:rPr>
                <w:rFonts w:ascii="Calibri" w:hAnsi="Calibri"/>
                <w:sz w:val="22"/>
              </w:rPr>
              <w:t>FY 2026 Adj. EPS</w:t>
            </w:r>
          </w:p>
        </w:tc>
        <w:tc>
          <w:tcPr>
            <w:tcW w:type="dxa" w:w="1728"/>
          </w:tcPr>
          <w:p>
            <w:r>
              <w:rPr>
                <w:rFonts w:ascii="Calibri" w:hAnsi="Calibri"/>
                <w:sz w:val="22"/>
              </w:rPr>
              <w:t>$46.30–$46.95 (+8% to +10% growth); raised from prior $46.05–$46.70</w:t>
            </w:r>
          </w:p>
        </w:tc>
        <w:tc>
          <w:tcPr>
            <w:tcW w:type="dxa" w:w="1728"/>
          </w:tcPr>
          <w:p>
            <w:r>
              <w:rPr>
                <w:rFonts w:ascii="Calibri" w:hAnsi="Calibri"/>
                <w:sz w:val="22"/>
              </w:rPr>
              <w:t>—</w:t>
            </w:r>
          </w:p>
        </w:tc>
        <w:tc>
          <w:tcPr>
            <w:tcW w:type="dxa" w:w="1728"/>
          </w:tcPr>
          <w:p>
            <w:r>
              <w:rPr>
                <w:rFonts w:ascii="Calibri" w:hAnsi="Calibri"/>
                <w:sz w:val="22"/>
              </w:rPr>
              <w:t>$46.72</w:t>
            </w:r>
          </w:p>
        </w:tc>
        <w:tc>
          <w:tcPr>
            <w:tcW w:type="dxa" w:w="1728"/>
          </w:tcPr>
          <w:p>
            <w:r>
              <w:rPr>
                <w:rFonts w:ascii="Calibri" w:hAnsi="Calibri"/>
                <w:sz w:val="22"/>
              </w:rPr>
              <w:t>Raised at Q1 earnings; consensus near upper half of range</w:t>
            </w:r>
          </w:p>
        </w:tc>
      </w:tr>
      <w:tr>
        <w:tc>
          <w:tcPr>
            <w:tcW w:type="dxa" w:w="1728"/>
          </w:tcPr>
          <w:p>
            <w:r>
              <w:rPr>
                <w:rFonts w:ascii="Calibri" w:hAnsi="Calibri"/>
                <w:sz w:val="22"/>
              </w:rPr>
              <w:t>FY 2026 LC Sales Growth</w:t>
            </w:r>
          </w:p>
        </w:tc>
        <w:tc>
          <w:tcPr>
            <w:tcW w:type="dxa" w:w="1728"/>
          </w:tcPr>
          <w:p>
            <w:r>
              <w:rPr>
                <w:rFonts w:ascii="Calibri" w:hAnsi="Calibri"/>
                <w:sz w:val="22"/>
              </w:rPr>
              <w:t>~+4% (incl. &lt;1% from acquisitions for full year)</w:t>
            </w:r>
          </w:p>
        </w:tc>
        <w:tc>
          <w:tcPr>
            <w:tcW w:type="dxa" w:w="1728"/>
          </w:tcPr>
          <w:p>
            <w:r>
              <w:rPr>
                <w:rFonts w:ascii="Calibri" w:hAnsi="Calibri"/>
                <w:sz w:val="22"/>
              </w:rPr>
              <w:t>—</w:t>
            </w:r>
          </w:p>
        </w:tc>
        <w:tc>
          <w:tcPr>
            <w:tcW w:type="dxa" w:w="1728"/>
          </w:tcPr>
          <w:p>
            <w:r>
              <w:rPr>
                <w:rFonts w:ascii="Calibri" w:hAnsi="Calibri"/>
                <w:sz w:val="22"/>
              </w:rPr>
              <w:t>~+4.0% (consensus $4,239M)</w:t>
            </w:r>
          </w:p>
        </w:tc>
        <w:tc>
          <w:tcPr>
            <w:tcW w:type="dxa" w:w="1728"/>
          </w:tcPr>
          <w:p>
            <w:r>
              <w:rPr>
                <w:rFonts w:ascii="Calibri" w:hAnsi="Calibri"/>
                <w:sz w:val="22"/>
              </w:rPr>
              <w:t>Unchanged; organic component modestly reduced vs. prior as acq. contribution tracking higher</w:t>
            </w:r>
          </w:p>
        </w:tc>
      </w:tr>
      <w:tr>
        <w:tc>
          <w:tcPr>
            <w:tcW w:type="dxa" w:w="1728"/>
          </w:tcPr>
          <w:p>
            <w:r>
              <w:rPr>
                <w:rFonts w:ascii="Calibri" w:hAnsi="Calibri"/>
                <w:sz w:val="22"/>
              </w:rPr>
              <w:t>FY 2026 Free Cash Flow</w:t>
            </w:r>
          </w:p>
        </w:tc>
        <w:tc>
          <w:tcPr>
            <w:tcW w:type="dxa" w:w="1728"/>
          </w:tcPr>
          <w:p>
            <w:r>
              <w:rPr>
                <w:rFonts w:ascii="Calibri" w:hAnsi="Calibri"/>
                <w:sz w:val="22"/>
              </w:rPr>
              <w:t>~$900M (+5% per share)</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No post-earnings update</w:t>
            </w:r>
          </w:p>
        </w:tc>
      </w:tr>
      <w:tr>
        <w:tc>
          <w:tcPr>
            <w:tcW w:type="dxa" w:w="1728"/>
          </w:tcPr>
          <w:p>
            <w:r>
              <w:rPr>
                <w:rFonts w:ascii="Calibri" w:hAnsi="Calibri"/>
                <w:sz w:val="22"/>
              </w:rPr>
              <w:t>FY 2026 Share Repurchases</w:t>
            </w:r>
          </w:p>
        </w:tc>
        <w:tc>
          <w:tcPr>
            <w:tcW w:type="dxa" w:w="1728"/>
          </w:tcPr>
          <w:p>
            <w:r>
              <w:rPr>
                <w:rFonts w:ascii="Calibri" w:hAnsi="Calibri"/>
                <w:sz w:val="22"/>
              </w:rPr>
              <w:t>$825M–$875M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post-earnings update</w:t>
            </w:r>
          </w:p>
        </w:tc>
      </w:tr>
    </w:tbl>
    <w:p>
      <w:r>
        <w:rPr>
          <w:rFonts w:ascii="Calibri" w:hAnsi="Calibri"/>
          <w:color w:val="525866"/>
          <w:sz w:val="22"/>
        </w:rPr>
        <w:t>Source: MTD Q1 2026 Earnings Release and Transcript (May 7–8, 2026); Visible Alpha Consensus Data.</w:t>
      </w:r>
    </w:p>
    <w:p>
      <w:r>
        <w:rPr>
          <w:rFonts w:ascii="Calibri" w:hAnsi="Calibri"/>
          <w:b/>
          <w:color w:val="525866"/>
          <w:sz w:val="22"/>
        </w:rPr>
        <w:t xml:space="preserve">Key management commentary since Q1 earnings: </w:t>
      </w:r>
      <w:r>
        <w:rPr>
          <w:rFonts w:ascii="Calibri" w:hAnsi="Calibri"/>
          <w:color w:val="525866"/>
          <w:sz w:val="22"/>
        </w:rPr>
        <w:t>No material post-earnings guidance updates or 8-K filings have been issued. The May 13, 2026 8-K related to an executive compensation structure change (LTI target increases) and the May 11, 2026 8-K confirmed shareholder approval of all annual meeting proposals — neither contained guidance revisions. Management's last public commentary on the business remains the Q1 2026 earnings call.</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2Q 2026 EPS have drifted </w:t>
      </w:r>
      <w:r>
        <w:rPr>
          <w:rFonts w:ascii="Calibri" w:hAnsi="Calibri"/>
          <w:b/>
          <w:color w:val="525866"/>
          <w:sz w:val="22"/>
        </w:rPr>
        <w:t>modestly lower</w:t>
      </w:r>
      <w:r>
        <w:rPr>
          <w:rFonts w:ascii="Calibri" w:hAnsi="Calibri"/>
          <w:color w:val="525866"/>
          <w:sz w:val="22"/>
        </w:rPr>
        <w:t xml:space="preserve"> since the Q1 print (from ~$10.77 post-print to ~$10.81 current — a slight uptick on net), while full-year estimates have moved up slightly, tracking the raised guidance. The gap between consensus and guidance midpoint is narrow on EPS, suggesting the Street has largely digested the Q1 guidance and is not pricing in a significant beat or miss.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14,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EPS — 2Q 2026</w:t>
            </w:r>
          </w:p>
        </w:tc>
        <w:tc>
          <w:tcPr>
            <w:tcW w:type="dxa" w:w="1080"/>
          </w:tcPr>
          <w:p>
            <w:r>
              <w:rPr>
                <w:rFonts w:ascii="Calibri" w:hAnsi="Calibri"/>
                <w:sz w:val="22"/>
              </w:rPr>
              <w:t>$10.774</w:t>
            </w:r>
          </w:p>
        </w:tc>
        <w:tc>
          <w:tcPr>
            <w:tcW w:type="dxa" w:w="1080"/>
          </w:tcPr>
          <w:p>
            <w:r>
              <w:rPr>
                <w:rFonts w:ascii="Calibri" w:hAnsi="Calibri"/>
                <w:sz w:val="22"/>
              </w:rPr>
              <w:t>$10.810</w:t>
            </w:r>
          </w:p>
        </w:tc>
        <w:tc>
          <w:tcPr>
            <w:tcW w:type="dxa" w:w="1080"/>
          </w:tcPr>
          <w:p>
            <w:r>
              <w:rPr>
                <w:rFonts w:ascii="Calibri" w:hAnsi="Calibri"/>
                <w:sz w:val="22"/>
              </w:rPr>
              <w:t>+0.3%</w:t>
            </w:r>
          </w:p>
        </w:tc>
        <w:tc>
          <w:tcPr>
            <w:tcW w:type="dxa" w:w="1080"/>
          </w:tcPr>
          <w:p>
            <w:r>
              <w:rPr>
                <w:rFonts w:ascii="Calibri" w:hAnsi="Calibri"/>
                <w:sz w:val="22"/>
              </w:rPr>
              <w:t>$10.70–$10.85 (mid: $10.775)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midpoint</w:t>
            </w:r>
          </w:p>
        </w:tc>
      </w:tr>
      <w:tr>
        <w:tc>
          <w:tcPr>
            <w:tcW w:type="dxa" w:w="1080"/>
          </w:tcPr>
          <w:p>
            <w:r>
              <w:rPr>
                <w:rFonts w:ascii="Calibri" w:hAnsi="Calibri"/>
                <w:sz w:val="22"/>
              </w:rPr>
              <w:t>Net Sales — 2Q 2026</w:t>
            </w:r>
          </w:p>
        </w:tc>
        <w:tc>
          <w:tcPr>
            <w:tcW w:type="dxa" w:w="1080"/>
          </w:tcPr>
          <w:p>
            <w:r>
              <w:rPr>
                <w:rFonts w:ascii="Calibri" w:hAnsi="Calibri"/>
                <w:sz w:val="22"/>
              </w:rPr>
              <w:t>$1,031.6M</w:t>
            </w:r>
          </w:p>
        </w:tc>
        <w:tc>
          <w:tcPr>
            <w:tcW w:type="dxa" w:w="1080"/>
          </w:tcPr>
          <w:p>
            <w:r>
              <w:rPr>
                <w:rFonts w:ascii="Calibri" w:hAnsi="Calibri"/>
                <w:sz w:val="22"/>
              </w:rPr>
              <w:t>$1,029.7M</w:t>
            </w:r>
          </w:p>
        </w:tc>
        <w:tc>
          <w:tcPr>
            <w:tcW w:type="dxa" w:w="1080"/>
          </w:tcPr>
          <w:p>
            <w:r>
              <w:rPr>
                <w:rFonts w:ascii="Calibri" w:hAnsi="Calibri"/>
                <w:sz w:val="22"/>
              </w:rPr>
              <w:t>-0.2%</w:t>
            </w:r>
          </w:p>
        </w:tc>
        <w:tc>
          <w:tcPr>
            <w:tcW w:type="dxa" w:w="1080"/>
          </w:tcPr>
          <w:p>
            <w:r>
              <w:rPr>
                <w:rFonts w:ascii="Calibri" w:hAnsi="Calibri"/>
                <w:sz w:val="22"/>
              </w:rPr>
              <w:t>~+3% LC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(guidance in LC%)</w:t>
            </w:r>
          </w:p>
        </w:tc>
      </w:tr>
      <w:tr>
        <w:tc>
          <w:tcPr>
            <w:tcW w:type="dxa" w:w="1080"/>
          </w:tcPr>
          <w:p>
            <w:r>
              <w:rPr>
                <w:rFonts w:ascii="Calibri" w:hAnsi="Calibri"/>
                <w:sz w:val="22"/>
              </w:rPr>
              <w:t>Organic Growth — 2Q 2026</w:t>
            </w:r>
          </w:p>
        </w:tc>
        <w:tc>
          <w:tcPr>
            <w:tcW w:type="dxa" w:w="1080"/>
          </w:tcPr>
          <w:p>
            <w:r>
              <w:rPr>
                <w:rFonts w:ascii="Calibri" w:hAnsi="Calibri"/>
                <w:sz w:val="22"/>
              </w:rPr>
              <w:t>~1.84%</w:t>
            </w:r>
          </w:p>
        </w:tc>
        <w:tc>
          <w:tcPr>
            <w:tcW w:type="dxa" w:w="1080"/>
          </w:tcPr>
          <w:p>
            <w:r>
              <w:rPr>
                <w:rFonts w:ascii="Calibri" w:hAnsi="Calibri"/>
                <w:sz w:val="22"/>
              </w:rPr>
              <w:t>~2.03%</w:t>
            </w:r>
          </w:p>
        </w:tc>
        <w:tc>
          <w:tcPr>
            <w:tcW w:type="dxa" w:w="1080"/>
          </w:tcPr>
          <w:p>
            <w:r>
              <w:rPr>
                <w:rFonts w:ascii="Calibri" w:hAnsi="Calibri"/>
                <w:sz w:val="22"/>
              </w:rPr>
              <w:t>+1.0%</w:t>
            </w:r>
          </w:p>
        </w:tc>
        <w:tc>
          <w:tcPr>
            <w:tcW w:type="dxa" w:w="1080"/>
          </w:tcPr>
          <w:p>
            <w:r>
              <w:rPr>
                <w:rFonts w:ascii="Calibri" w:hAnsi="Calibri"/>
                <w:sz w:val="22"/>
              </w:rPr>
              <w:t>~+1.5% organic (incl. ~1.5% acq.)</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~+0.5pp above organic guidance</w:t>
            </w:r>
          </w:p>
        </w:tc>
      </w:tr>
      <w:tr>
        <w:tc>
          <w:tcPr>
            <w:tcW w:type="dxa" w:w="1080"/>
          </w:tcPr>
          <w:p>
            <w:r>
              <w:rPr>
                <w:rFonts w:ascii="Calibri" w:hAnsi="Calibri"/>
                <w:sz w:val="22"/>
              </w:rPr>
              <w:t>Adj. EPS — FY 2026</w:t>
            </w:r>
          </w:p>
        </w:tc>
        <w:tc>
          <w:tcPr>
            <w:tcW w:type="dxa" w:w="1080"/>
          </w:tcPr>
          <w:p>
            <w:r>
              <w:rPr>
                <w:rFonts w:ascii="Calibri" w:hAnsi="Calibri"/>
                <w:sz w:val="22"/>
              </w:rPr>
              <w:t>$46.678</w:t>
            </w:r>
          </w:p>
        </w:tc>
        <w:tc>
          <w:tcPr>
            <w:tcW w:type="dxa" w:w="1080"/>
          </w:tcPr>
          <w:p>
            <w:r>
              <w:rPr>
                <w:rFonts w:ascii="Calibri" w:hAnsi="Calibri"/>
                <w:sz w:val="22"/>
              </w:rPr>
              <w:t>$46.718</w:t>
            </w:r>
          </w:p>
        </w:tc>
        <w:tc>
          <w:tcPr>
            <w:tcW w:type="dxa" w:w="1080"/>
          </w:tcPr>
          <w:p>
            <w:r>
              <w:rPr>
                <w:rFonts w:ascii="Calibri" w:hAnsi="Calibri"/>
                <w:sz w:val="22"/>
              </w:rPr>
              <w:t>+0.1%</w:t>
            </w:r>
          </w:p>
        </w:tc>
        <w:tc>
          <w:tcPr>
            <w:tcW w:type="dxa" w:w="1080"/>
          </w:tcPr>
          <w:p>
            <w:r>
              <w:rPr>
                <w:rFonts w:ascii="Calibri" w:hAnsi="Calibri"/>
                <w:sz w:val="22"/>
              </w:rPr>
              <w:t>$46.30–$46.95 (mid: $46.625)</w:t>
            </w:r>
          </w:p>
        </w:tc>
        <w:tc>
          <w:tcPr>
            <w:tcW w:type="dxa" w:w="1080"/>
          </w:tcPr>
          <w:p>
            <w:r>
              <w:rPr>
                <w:rFonts w:ascii="Calibri" w:hAnsi="Calibri"/>
                <w:sz w:val="22"/>
              </w:rPr>
              <w:t>Unchanged (raised at Q1 from $46.05–$46.70)</w:t>
            </w:r>
          </w:p>
        </w:tc>
        <w:tc>
          <w:tcPr>
            <w:tcW w:type="dxa" w:w="1080"/>
          </w:tcPr>
          <w:p>
            <w:r>
              <w:rPr>
                <w:rFonts w:ascii="Calibri" w:hAnsi="Calibri"/>
                <w:sz w:val="22"/>
              </w:rPr>
              <w:t>+$0.25 at midpoint</w:t>
            </w:r>
          </w:p>
        </w:tc>
        <w:tc>
          <w:tcPr>
            <w:tcW w:type="dxa" w:w="1080"/>
          </w:tcPr>
          <w:p>
            <w:r>
              <w:rPr>
                <w:rFonts w:ascii="Calibri" w:hAnsi="Calibri"/>
                <w:sz w:val="22"/>
              </w:rPr>
              <w:t>+0.2% above midpoint</w:t>
            </w:r>
          </w:p>
        </w:tc>
      </w:tr>
      <w:tr>
        <w:tc>
          <w:tcPr>
            <w:tcW w:type="dxa" w:w="1080"/>
          </w:tcPr>
          <w:p>
            <w:r>
              <w:rPr>
                <w:rFonts w:ascii="Calibri" w:hAnsi="Calibri"/>
                <w:sz w:val="22"/>
              </w:rPr>
              <w:t>Net Sales — FY 2026</w:t>
            </w:r>
          </w:p>
        </w:tc>
        <w:tc>
          <w:tcPr>
            <w:tcW w:type="dxa" w:w="1080"/>
          </w:tcPr>
          <w:p>
            <w:r>
              <w:rPr>
                <w:rFonts w:ascii="Calibri" w:hAnsi="Calibri"/>
                <w:sz w:val="22"/>
              </w:rPr>
              <w:t>$4,248.8M</w:t>
            </w:r>
          </w:p>
        </w:tc>
        <w:tc>
          <w:tcPr>
            <w:tcW w:type="dxa" w:w="1080"/>
          </w:tcPr>
          <w:p>
            <w:r>
              <w:rPr>
                <w:rFonts w:ascii="Calibri" w:hAnsi="Calibri"/>
                <w:sz w:val="22"/>
              </w:rPr>
              <w:t>$4,239.4M</w:t>
            </w:r>
          </w:p>
        </w:tc>
        <w:tc>
          <w:tcPr>
            <w:tcW w:type="dxa" w:w="1080"/>
          </w:tcPr>
          <w:p>
            <w:r>
              <w:rPr>
                <w:rFonts w:ascii="Calibri" w:hAnsi="Calibri"/>
                <w:sz w:val="22"/>
              </w:rPr>
              <w:t>-0.2%</w:t>
            </w:r>
          </w:p>
        </w:tc>
        <w:tc>
          <w:tcPr>
            <w:tcW w:type="dxa" w:w="1080"/>
          </w:tcPr>
          <w:p>
            <w:r>
              <w:rPr>
                <w:rFonts w:ascii="Calibri" w:hAnsi="Calibri"/>
                <w:sz w:val="22"/>
              </w:rPr>
              <w:t>~+4% LC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(guidance in LC%)</w:t>
            </w:r>
          </w:p>
        </w:tc>
      </w:tr>
    </w:tbl>
    <w:p>
      <w:r>
        <w:rPr>
          <w:rFonts w:ascii="Calibri" w:hAnsi="Calibri"/>
          <w:color w:val="525866"/>
          <w:sz w:val="22"/>
        </w:rPr>
        <w:t>Source: Visible Alpha Consensus and Actuals Data (as-of date: May 14, 2026 and July 29, 2026); MTD Q1 2026 Earnings Release and Transcript.</w:t>
      </w:r>
    </w:p>
    <w:p>
      <w:r>
        <w:rPr>
          <w:rFonts w:ascii="Calibri" w:hAnsi="Calibri"/>
          <w:b/>
          <w:color w:val="525866"/>
          <w:sz w:val="22"/>
        </w:rPr>
        <w:t xml:space="preserve">Commentary: </w:t>
      </w:r>
      <w:r>
        <w:rPr>
          <w:rFonts w:ascii="Calibri" w:hAnsi="Calibri"/>
          <w:color w:val="525866"/>
          <w:sz w:val="22"/>
        </w:rPr>
        <w:t>Estimates are essentially flat since the Q1 print, tracking guidance closely. The slight uptick in organic growth consensus (from ~1.84% to ~2.03%) likely reflects improving peer read-throughs from TMO and DHR. Full-year EPS consensus at $46.72 sits near the upper half of the $46.30–$46.95 guidance range, implying the Street expects MTD to execute at or above the midpoint — consistent with the company's historical beat pattern.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MTD's post-Q1 stock performance has been driven primarily by </w:t>
      </w:r>
      <w:r>
        <w:rPr>
          <w:rFonts w:ascii="Calibri" w:hAnsi="Calibri"/>
          <w:b/>
          <w:color w:val="525866"/>
          <w:sz w:val="22"/>
        </w:rPr>
        <w:t>multiple re-expansion</w:t>
      </w:r>
      <w:r>
        <w:rPr>
          <w:rFonts w:ascii="Calibri" w:hAnsi="Calibri"/>
          <w:color w:val="525866"/>
          <w:sz w:val="22"/>
        </w:rPr>
        <w:t xml:space="preserve"> rather than estimate revisions (which were flat). The stock gapped down ~15% on the Q1 print (Q2 EPS guidance below consensus), then recovered sharply to new highs by late July, outperforming XLI and the S&amp;P 500 since the earnings date — driven by improving peer read-throughs (TMO's strong Q2 beat) and China optimism.</w:t>
      </w:r>
    </w:p>
    <w:p>
      <w:r>
        <w:rPr>
          <w:rFonts w:ascii="Calibri" w:hAnsi="Calibri"/>
          <w:b/>
          <w:color w:val="525866"/>
          <w:sz w:val="22"/>
        </w:rPr>
        <w:t xml:space="preserve">Sector ETF: </w:t>
      </w:r>
      <w:r>
        <w:rPr>
          <w:rFonts w:ascii="Calibri" w:hAnsi="Calibri"/>
          <w:color w:val="525866"/>
          <w:sz w:val="22"/>
        </w:rPr>
        <w:t>XLI (Industrial Select Sector SPDR ETF) is used as the sector benchmark. MTD is classified as an Industrial company (precision instruments / industrial automation), and XLI captures the broad industrial sector including automation, measurement, and process control companies that share MTD's end-market exposures. While MTD also has significant life science exposure, XLI is the most appropriate single-ETF benchmark given MTD's primary GICS classification.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MTD vs. XLI vs. S&amp;P 500 — Indexed Performance Since Q1 2026 Earnings (May 7, 2026). Base = 100. MTD gapped down ~15% on the Q1 print before recovering sharply to +5.2% by July 28, outperforming XLI (+4.9%) and the S&amp;P 500 (+1.3%). Source: Stock Price Data.</w:t>
      </w:r>
    </w:p>
    <w:p>
      <w:r>
        <w:rPr>
          <w:rFonts w:ascii="Calibri" w:hAnsi="Calibri"/>
          <w:color w:val="525866"/>
          <w:sz w:val="22"/>
        </w:rPr>
        <w:t>Performance Summary (May 7 → July 28, 2026):</w:t>
      </w:r>
    </w:p>
    <w:p>
      <w:pPr>
        <w:pStyle w:val="ListBullet"/>
        <w:ind w:left="360" w:hanging="360"/>
      </w:pPr>
      <w:r>
        <w:rPr>
          <w:rFonts w:ascii="Calibri" w:hAnsi="Calibri"/>
          <w:b/>
          <w:color w:val="525866"/>
          <w:sz w:val="22"/>
        </w:rPr>
        <w:t xml:space="preserve">MTD: </w:t>
      </w:r>
      <w:r>
        <w:rPr>
          <w:rFonts w:ascii="Calibri" w:hAnsi="Calibri"/>
          <w:color w:val="525866"/>
          <w:sz w:val="22"/>
        </w:rPr>
        <w:t>$1,319.29 → $1,388.38 = +5.2% (indexed from 100 to 105.2)</w:t>
      </w:r>
    </w:p>
    <w:p>
      <w:pPr>
        <w:pStyle w:val="ListBullet"/>
        <w:ind w:left="360" w:hanging="360"/>
      </w:pPr>
      <w:r>
        <w:rPr>
          <w:rFonts w:ascii="Calibri" w:hAnsi="Calibri"/>
          <w:b/>
          <w:color w:val="525866"/>
          <w:sz w:val="22"/>
        </w:rPr>
        <w:t xml:space="preserve">XLI: </w:t>
      </w:r>
      <w:r>
        <w:rPr>
          <w:rFonts w:ascii="Calibri" w:hAnsi="Calibri"/>
          <w:color w:val="525866"/>
          <w:sz w:val="22"/>
        </w:rPr>
        <w:t>$174.00 → $182.49 = +4.9% (indexed from 100 to 104.9)</w:t>
      </w:r>
    </w:p>
    <w:p>
      <w:pPr>
        <w:pStyle w:val="ListBullet"/>
        <w:ind w:left="360" w:hanging="360"/>
      </w:pPr>
      <w:r>
        <w:rPr>
          <w:rFonts w:ascii="Calibri" w:hAnsi="Calibri"/>
          <w:b/>
          <w:color w:val="525866"/>
          <w:sz w:val="22"/>
        </w:rPr>
        <w:t xml:space="preserve">S&amp;P 500 (SPY): </w:t>
      </w:r>
      <w:r>
        <w:rPr>
          <w:rFonts w:ascii="Calibri" w:hAnsi="Calibri"/>
          <w:color w:val="525866"/>
          <w:sz w:val="22"/>
        </w:rPr>
        <w:t>$731.58 → $740.86 = +1.3% (indexed from 100 to 101.3)</w:t>
      </w:r>
    </w:p>
    <w:p>
      <w:r>
        <w:rPr>
          <w:rFonts w:ascii="Calibri" w:hAnsi="Calibri"/>
          <w:color w:val="525866"/>
          <w:sz w:val="22"/>
        </w:rPr>
        <w:t>Key events during the period:</w:t>
      </w:r>
    </w:p>
    <w:p>
      <w:pPr>
        <w:pStyle w:val="ListBullet"/>
        <w:ind w:left="360" w:hanging="360"/>
      </w:pPr>
      <w:r>
        <w:rPr>
          <w:rFonts w:ascii="Calibri" w:hAnsi="Calibri"/>
          <w:b/>
          <w:color w:val="525866"/>
          <w:sz w:val="22"/>
        </w:rPr>
        <w:t xml:space="preserve">May 7–8, 2026 (Q1 Earnings): </w:t>
      </w:r>
      <w:r>
        <w:rPr>
          <w:rFonts w:ascii="Calibri" w:hAnsi="Calibri"/>
          <w:color w:val="525866"/>
          <w:sz w:val="22"/>
        </w:rPr>
        <w:t>MTD gapped down ~15% (from $1,319 to ~$1,124) as Q2 EPS guidance came in below consensus despite the Q1 beat.</w:t>
      </w:r>
    </w:p>
    <w:p>
      <w:pPr>
        <w:pStyle w:val="ListBullet"/>
        <w:ind w:left="360" w:hanging="360"/>
      </w:pPr>
      <w:r>
        <w:rPr>
          <w:rFonts w:ascii="Calibri" w:hAnsi="Calibri"/>
          <w:b/>
          <w:color w:val="525866"/>
          <w:sz w:val="22"/>
        </w:rPr>
        <w:t xml:space="preserve">May–June 2026: </w:t>
      </w:r>
      <w:r>
        <w:rPr>
          <w:rFonts w:ascii="Calibri" w:hAnsi="Calibri"/>
          <w:color w:val="525866"/>
          <w:sz w:val="22"/>
        </w:rPr>
        <w:t>Gradual recovery as macro uncertainty eased and China industrial data improved.</w:t>
      </w:r>
    </w:p>
    <w:p>
      <w:pPr>
        <w:pStyle w:val="ListBullet"/>
        <w:ind w:left="360" w:hanging="360"/>
      </w:pPr>
      <w:r>
        <w:rPr>
          <w:rFonts w:ascii="Calibri" w:hAnsi="Calibri"/>
          <w:b/>
          <w:color w:val="525866"/>
          <w:sz w:val="22"/>
        </w:rPr>
        <w:t xml:space="preserve">July 21, 2026 (DHR Earnings): </w:t>
      </w:r>
      <w:r>
        <w:rPr>
          <w:rFonts w:ascii="Calibri" w:hAnsi="Calibri"/>
          <w:color w:val="525866"/>
          <w:sz w:val="22"/>
        </w:rPr>
        <w:t>Danaher's Q3 guidance miss caused a ~14% single-day decline in DHR; MTD dipped modestly but recovered quickly, suggesting the market viewed DHR's issues as company-specific.</w:t>
      </w:r>
    </w:p>
    <w:p>
      <w:pPr>
        <w:pStyle w:val="ListBullet"/>
        <w:ind w:left="360" w:hanging="360"/>
      </w:pPr>
      <w:r>
        <w:rPr>
          <w:rFonts w:ascii="Calibri" w:hAnsi="Calibri"/>
          <w:b/>
          <w:color w:val="525866"/>
          <w:sz w:val="22"/>
        </w:rPr>
        <w:t xml:space="preserve">July 23, 2026 (TMO Earnings): </w:t>
      </w:r>
      <w:r>
        <w:rPr>
          <w:rFonts w:ascii="Calibri" w:hAnsi="Calibri"/>
          <w:color w:val="525866"/>
          <w:sz w:val="22"/>
        </w:rPr>
        <w:t>Thermo Fisher's strong Q2 beat (EPS $6.03 vs. $5.72 consensus; organic growth +5%, ~200bps above consensus) drove TMO +10% and lifted MTD and the broader life science tools sector.</w:t>
      </w:r>
    </w:p>
    <w:p>
      <w:r>
        <w:rPr>
          <w:rFonts w:ascii="Calibri" w:hAnsi="Calibri"/>
          <w:b/>
          <w:color w:val="525866"/>
          <w:sz w:val="22"/>
        </w:rPr>
        <w:t xml:space="preserve">Valuation context: </w:t>
      </w:r>
      <w:r>
        <w:rPr>
          <w:rFonts w:ascii="Calibri" w:hAnsi="Calibri"/>
          <w:color w:val="525866"/>
          <w:sz w:val="22"/>
        </w:rPr>
        <w:t>MTD currently trades at ~28x NTM P/E and ~21x NTM EV/EBITDA (vs. ~21x and ~19x three months ago), reflecting multiple re-expansion of ~6–9% over the past quarter. The stock's recovery to new highs ahead of the print raises the bar for the actual 2Q result.</w:t>
      </w:r>
    </w:p>
    <w:p>
      <w:r>
        <w:br w:type="page"/>
      </w:r>
    </w:p>
    <w:p>
      <w:pPr>
        <w:pStyle w:val="Heading2"/>
      </w:pPr>
      <w:r>
        <w:rPr>
          <w:rFonts w:ascii="Calibri" w:hAnsi="Calibri"/>
          <w:b/>
          <w:color w:val="3B4259"/>
          <w:sz w:val="28"/>
        </w:rPr>
        <w:t>6. Peer Commentary &amp; Read-Through</w:t>
      </w:r>
    </w:p>
    <w:p>
      <w:r>
        <w:rPr>
          <w:rFonts w:ascii="Calibri" w:hAnsi="Calibri"/>
          <w:b/>
          <w:color w:val="525866"/>
          <w:sz w:val="22"/>
        </w:rPr>
        <w:t xml:space="preserve">Key Takeaway: </w:t>
      </w:r>
      <w:r>
        <w:rPr>
          <w:rFonts w:ascii="Calibri" w:hAnsi="Calibri"/>
          <w:color w:val="525866"/>
          <w:sz w:val="22"/>
        </w:rPr>
        <w:t xml:space="preserve">Peer commentary since MTD's Q1 earnings is </w:t>
      </w:r>
      <w:r>
        <w:rPr>
          <w:rFonts w:ascii="Calibri" w:hAnsi="Calibri"/>
          <w:b/>
          <w:color w:val="525866"/>
          <w:sz w:val="22"/>
        </w:rPr>
        <w:t>net positive for the 2Q 2026 setup</w:t>
      </w:r>
      <w:r>
        <w:rPr>
          <w:rFonts w:ascii="Calibri" w:hAnsi="Calibri"/>
          <w:color w:val="525866"/>
          <w:sz w:val="22"/>
        </w:rPr>
        <w:t>. Thermo Fisher's strong Q2 beat signals broad-based life science tools recovery, and Danaher confirms mid-single digit China growth and strengthening pharma/biopharma demand. The key caution is Danaher's &gt;$100M bioprocessing revenue push-out, which could create a modest headwind for MTD's biopharma segment, though underlying order trends remain healthy.</w:t>
      </w:r>
    </w:p>
    <w:p>
      <w:r>
        <w:rPr>
          <w:rFonts w:ascii="Calibri" w:hAnsi="Calibri"/>
          <w:b/>
          <w:color w:val="525866"/>
          <w:sz w:val="22"/>
        </w:rPr>
        <w:t xml:space="preserve">Note on scope: </w:t>
      </w:r>
      <w:r>
        <w:rPr>
          <w:rFonts w:ascii="Calibri" w:hAnsi="Calibri"/>
          <w:color w:val="525866"/>
          <w:sz w:val="22"/>
        </w:rPr>
        <w:t>Only commentary from peers' most recent earnings calls (reporting on their own current quarter, which is 2Q 2026 for TMO and DHR) and conference presentations made after MTD's Q1 2026 earnings (May 7, 2026) are included. Prior-quarter results commentary is excluded.</w:t>
      </w:r>
    </w:p>
    <w:p>
      <w:pPr>
        <w:pStyle w:val="Heading3"/>
      </w:pPr>
      <w:r>
        <w:rPr>
          <w:rFonts w:ascii="Calibri" w:hAnsi="Calibri"/>
          <w:b/>
          <w:color w:val="3B4259"/>
          <w:sz w:val="24"/>
        </w:rPr>
        <w:t>6A. Thermo Fisher Scientific (TMO) — 2Q 2026 Earnings Call (July 23, 2026)</w:t>
      </w:r>
    </w:p>
    <w:p>
      <w:r>
        <w:rPr>
          <w:rFonts w:ascii="Calibri" w:hAnsi="Calibri"/>
          <w:b/>
          <w:color w:val="525866"/>
          <w:sz w:val="22"/>
        </w:rPr>
        <w:t xml:space="preserve">Read-Through Assessment: </w:t>
      </w:r>
      <w:r>
        <w:rPr>
          <w:rFonts w:ascii="Calibri" w:hAnsi="Calibri"/>
          <w:b/>
          <w:color w:val="30A46C"/>
          <w:sz w:val="22"/>
        </w:rPr>
        <w:t>DIRECT &amp; POSITIVE</w:t>
      </w:r>
    </w:p>
    <w:p>
      <w:r>
        <w:rPr>
          <w:rFonts w:ascii="Calibri" w:hAnsi="Calibri"/>
          <w:color w:val="525866"/>
          <w:sz w:val="22"/>
        </w:rPr>
        <w:t>TMO's 2Q 2026 results are the most directly relevant read-through for MTD. TMO reported EPS of $6.03 vs. $5.72 consensus and organic revenue growth of +5% (approximately 200bps above consensus), with management noting that "customer activity across our end markets continued to strengthen." TMO raised full-year organic growth guidance to ~4% (upper end of 3–4% range) and raised full-year EPS guidance to $24.93–$25.33 (+9–11% growth). The stock rose ~10% on the day, its largest intraday gain since October 2008.</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TMO Commentary (2Q 2026 Earnings, July 23, 2026)</w:t>
            </w:r>
          </w:p>
        </w:tc>
        <w:tc>
          <w:tcPr>
            <w:tcW w:type="dxa" w:w="2880"/>
            <w:shd w:val="clear" w:color="auto" w:fill="3B4259"/>
          </w:tcPr>
          <w:p>
            <w:r>
              <w:rPr>
                <w:rFonts w:ascii="Calibri" w:hAnsi="Calibri"/>
                <w:b/>
                <w:color w:val="FFFFFF"/>
                <w:sz w:val="22"/>
              </w:rPr>
              <w:t>MTD Read-Through</w:t>
            </w:r>
          </w:p>
        </w:tc>
      </w:tr>
      <w:tr>
        <w:tc>
          <w:tcPr>
            <w:tcW w:type="dxa" w:w="2880"/>
          </w:tcPr>
          <w:p>
            <w:r>
              <w:rPr>
                <w:rFonts w:ascii="Calibri" w:hAnsi="Calibri"/>
                <w:sz w:val="22"/>
              </w:rPr>
              <w:t>Overall Market</w:t>
            </w:r>
          </w:p>
        </w:tc>
        <w:tc>
          <w:tcPr>
            <w:tcW w:type="dxa" w:w="2880"/>
          </w:tcPr>
          <w:p>
            <w:r>
              <w:rPr>
                <w:rFonts w:ascii="Calibri" w:hAnsi="Calibri"/>
                <w:sz w:val="22"/>
              </w:rPr>
              <w:t>"Customer activity across our end markets continued to strengthen" with "sequential improvement and strong revenue growth across each of our end markets." Raised full-year organic growth to ~4%.</w:t>
            </w:r>
          </w:p>
        </w:tc>
        <w:tc>
          <w:tcPr>
            <w:tcW w:type="dxa" w:w="2880"/>
          </w:tcPr>
          <w:p>
            <w:r>
              <w:rPr>
                <w:rFonts w:ascii="Calibri" w:hAnsi="Calibri"/>
                <w:b/>
                <w:color w:val="30A46C"/>
                <w:sz w:val="22"/>
              </w:rPr>
              <w:t>Positive. Broad-based end market strengthening supports MTD's 2Q organic growth guidance of ~1.5% organic (low bar). Improving conditions could drive upside.</w:t>
            </w:r>
          </w:p>
        </w:tc>
      </w:tr>
      <w:tr>
        <w:tc>
          <w:tcPr>
            <w:tcW w:type="dxa" w:w="2880"/>
          </w:tcPr>
          <w:p>
            <w:r>
              <w:rPr>
                <w:rFonts w:ascii="Calibri" w:hAnsi="Calibri"/>
                <w:sz w:val="22"/>
              </w:rPr>
              <w:t>Pharma &amp; Biotech</w:t>
            </w:r>
          </w:p>
        </w:tc>
        <w:tc>
          <w:tcPr>
            <w:tcW w:type="dxa" w:w="2880"/>
          </w:tcPr>
          <w:p>
            <w:r>
              <w:rPr>
                <w:rFonts w:ascii="Calibri" w:hAnsi="Calibri"/>
                <w:sz w:val="22"/>
              </w:rPr>
              <w:t>"Definitely good momentum continues in pharma, but also biotech. Clearly, we saw spending pick up." Mid-single digit growth in pharma/biotech in 2Q. "As we look to the second half for pharma and biotech, we actually think would be a little better."</w:t>
            </w:r>
          </w:p>
        </w:tc>
        <w:tc>
          <w:tcPr>
            <w:tcW w:type="dxa" w:w="2880"/>
          </w:tcPr>
          <w:p>
            <w:r>
              <w:rPr>
                <w:rFonts w:ascii="Calibri" w:hAnsi="Calibri"/>
                <w:b/>
                <w:color w:val="30A46C"/>
                <w:sz w:val="22"/>
              </w:rPr>
              <w:t>Positive. Strengthening pharma/biopharma spending directly benefits MTD's lab instruments and process weighing solutions used in drug discovery and manufacturing.</w:t>
            </w:r>
          </w:p>
        </w:tc>
      </w:tr>
      <w:tr>
        <w:tc>
          <w:tcPr>
            <w:tcW w:type="dxa" w:w="2880"/>
          </w:tcPr>
          <w:p>
            <w:r>
              <w:rPr>
                <w:rFonts w:ascii="Calibri" w:hAnsi="Calibri"/>
                <w:sz w:val="22"/>
              </w:rPr>
              <w:t>Bioprocessing</w:t>
            </w:r>
          </w:p>
        </w:tc>
        <w:tc>
          <w:tcPr>
            <w:tcW w:type="dxa" w:w="2880"/>
          </w:tcPr>
          <w:p>
            <w:r>
              <w:rPr>
                <w:rFonts w:ascii="Calibri" w:hAnsi="Calibri"/>
                <w:sz w:val="22"/>
              </w:rPr>
              <w:t>Bioproduction had a "really strong quarter" with "good strength broadly." Filtration and separation business "doing very well and demand has been strong." DynaDrive single-use bioreactors "quickly becoming the favored technology."</w:t>
            </w:r>
          </w:p>
        </w:tc>
        <w:tc>
          <w:tcPr>
            <w:tcW w:type="dxa" w:w="2880"/>
          </w:tcPr>
          <w:p>
            <w:r>
              <w:rPr>
                <w:rFonts w:ascii="Calibri" w:hAnsi="Calibri"/>
                <w:b/>
                <w:color w:val="30A46C"/>
                <w:sz w:val="22"/>
              </w:rPr>
              <w:t>Positive. Strong bioproduction demand supports MTD's bioprocessing-related instruments and process weighing solutions.</w:t>
            </w:r>
          </w:p>
        </w:tc>
      </w:tr>
      <w:tr>
        <w:tc>
          <w:tcPr>
            <w:tcW w:type="dxa" w:w="2880"/>
          </w:tcPr>
          <w:p>
            <w:r>
              <w:rPr>
                <w:rFonts w:ascii="Calibri" w:hAnsi="Calibri"/>
                <w:sz w:val="22"/>
              </w:rPr>
              <w:t>Lab Instruments</w:t>
            </w:r>
          </w:p>
        </w:tc>
        <w:tc>
          <w:tcPr>
            <w:tcW w:type="dxa" w:w="2880"/>
          </w:tcPr>
          <w:p>
            <w:r>
              <w:rPr>
                <w:rFonts w:ascii="Calibri" w:hAnsi="Calibri"/>
                <w:sz w:val="22"/>
              </w:rPr>
              <w:t>Analytical Instruments segment saw "high single digit growth" in 2Q with "all three businesses delivered strong growth." "Strong adoption of our high end instrumentation, broadly and especially actually globally in the academic customer set." "Irrespective of funding environments, if you have really relevant innovation, customers get money."</w:t>
            </w:r>
          </w:p>
        </w:tc>
        <w:tc>
          <w:tcPr>
            <w:tcW w:type="dxa" w:w="2880"/>
          </w:tcPr>
          <w:p>
            <w:r>
              <w:rPr>
                <w:rFonts w:ascii="Calibri" w:hAnsi="Calibri"/>
                <w:b/>
                <w:color w:val="30A46C"/>
                <w:sz w:val="22"/>
              </w:rPr>
              <w:t>Positive. High single-digit growth in analytical instruments signals healthy lab demand. MTD's innovation-driven lab portfolio should benefit from similar dynamics.</w:t>
            </w:r>
          </w:p>
        </w:tc>
      </w:tr>
      <w:tr>
        <w:tc>
          <w:tcPr>
            <w:tcW w:type="dxa" w:w="2880"/>
          </w:tcPr>
          <w:p>
            <w:r>
              <w:rPr>
                <w:rFonts w:ascii="Calibri" w:hAnsi="Calibri"/>
                <w:sz w:val="22"/>
              </w:rPr>
              <w:t>China</w:t>
            </w:r>
          </w:p>
        </w:tc>
        <w:tc>
          <w:tcPr>
            <w:tcW w:type="dxa" w:w="2880"/>
          </w:tcPr>
          <w:p>
            <w:r>
              <w:rPr>
                <w:rFonts w:ascii="Calibri" w:hAnsi="Calibri"/>
                <w:sz w:val="22"/>
              </w:rPr>
              <w:t>China grew "low single digits" in 2Q, driven by "a blend of pharma and biotech and industrial and applied markets." Academic/government in China "remains quite muted." CEO plans to spend more time in China in 2H.</w:t>
            </w:r>
          </w:p>
        </w:tc>
        <w:tc>
          <w:tcPr>
            <w:tcW w:type="dxa" w:w="2880"/>
          </w:tcPr>
          <w:p>
            <w:r>
              <w:rPr>
                <w:rFonts w:ascii="Calibri" w:hAnsi="Calibri"/>
                <w:b/>
                <w:color w:val="30A46C"/>
                <w:sz w:val="22"/>
              </w:rPr>
              <w:t>Cautiously positive. Low single-digit China growth is below MTD's mid-single digit China guidance for 2Q, but the pharma/biotech and industrial mix is consistent with MTD's China industrial strength narrative.</w:t>
            </w:r>
          </w:p>
        </w:tc>
      </w:tr>
      <w:tr>
        <w:tc>
          <w:tcPr>
            <w:tcW w:type="dxa" w:w="2880"/>
          </w:tcPr>
          <w:p>
            <w:r>
              <w:rPr>
                <w:rFonts w:ascii="Calibri" w:hAnsi="Calibri"/>
                <w:sz w:val="22"/>
              </w:rPr>
              <w:t>Academic/Government</w:t>
            </w:r>
          </w:p>
        </w:tc>
        <w:tc>
          <w:tcPr>
            <w:tcW w:type="dxa" w:w="2880"/>
          </w:tcPr>
          <w:p>
            <w:r>
              <w:rPr>
                <w:rFonts w:ascii="Calibri" w:hAnsi="Calibri"/>
                <w:sz w:val="22"/>
              </w:rPr>
              <w:t>Academic and government markets "returned to growth" in 2Q (US "slightly positive"), but TMO cautioned: "we still think the market is going through a stabilization period." Not calling a new trend based on Q2.</w:t>
            </w:r>
          </w:p>
        </w:tc>
        <w:tc>
          <w:tcPr>
            <w:tcW w:type="dxa" w:w="2880"/>
          </w:tcPr>
          <w:p>
            <w:r>
              <w:rPr>
                <w:rFonts w:ascii="Calibri" w:hAnsi="Calibri"/>
                <w:b/>
                <w:color w:val="E5484D"/>
                <w:sz w:val="22"/>
              </w:rPr>
              <w:t>Mixed. Stabilization is better than decline, but MTD's pipette weakness from academia/biotech (flagged in Q1) may persist. Not a clear catalyst.</w:t>
            </w:r>
          </w:p>
        </w:tc>
      </w:tr>
      <w:tr>
        <w:tc>
          <w:tcPr>
            <w:tcW w:type="dxa" w:w="2880"/>
          </w:tcPr>
          <w:p>
            <w:r>
              <w:rPr>
                <w:rFonts w:ascii="Calibri" w:hAnsi="Calibri"/>
                <w:sz w:val="22"/>
              </w:rPr>
              <w:t>Industrial</w:t>
            </w:r>
          </w:p>
        </w:tc>
        <w:tc>
          <w:tcPr>
            <w:tcW w:type="dxa" w:w="2880"/>
          </w:tcPr>
          <w:p>
            <w:r>
              <w:rPr>
                <w:rFonts w:ascii="Calibri" w:hAnsi="Calibri"/>
                <w:sz w:val="22"/>
              </w:rPr>
              <w:t>Industrial and applied segment delivered "mid-single digit growth" in 2Q, led by electron microscopy and chemical analysis. "Market conditions are getting better."</w:t>
            </w:r>
          </w:p>
        </w:tc>
        <w:tc>
          <w:tcPr>
            <w:tcW w:type="dxa" w:w="2880"/>
          </w:tcPr>
          <w:p>
            <w:r>
              <w:rPr>
                <w:rFonts w:ascii="Calibri" w:hAnsi="Calibri"/>
                <w:b/>
                <w:color w:val="30A46C"/>
                <w:sz w:val="22"/>
              </w:rPr>
              <w:t>Positive. Improving industrial market conditions support MTD's core industrial and product inspection segments.</w:t>
            </w:r>
          </w:p>
        </w:tc>
      </w:tr>
    </w:tbl>
    <w:p>
      <w:r>
        <w:rPr>
          <w:rFonts w:ascii="Calibri" w:hAnsi="Calibri"/>
          <w:color w:val="525866"/>
          <w:sz w:val="22"/>
        </w:rPr>
        <w:t>Source: TMO 2Q 2026 Earnings Call Transcript (July 23, 2026).</w:t>
      </w:r>
    </w:p>
    <w:p>
      <w:pPr>
        <w:pStyle w:val="Heading3"/>
      </w:pPr>
      <w:r>
        <w:rPr>
          <w:rFonts w:ascii="Calibri" w:hAnsi="Calibri"/>
          <w:b/>
          <w:color w:val="3B4259"/>
          <w:sz w:val="24"/>
        </w:rPr>
        <w:t>6B. Danaher (DHR) — 2Q 2026 Earnings Call (July 21, 2026)</w:t>
      </w:r>
    </w:p>
    <w:p>
      <w:r>
        <w:rPr>
          <w:rFonts w:ascii="Calibri" w:hAnsi="Calibri"/>
          <w:b/>
          <w:color w:val="525866"/>
          <w:sz w:val="22"/>
        </w:rPr>
        <w:t xml:space="preserve">Read-Through Assessment: </w:t>
      </w:r>
      <w:r>
        <w:rPr>
          <w:rFonts w:ascii="Calibri" w:hAnsi="Calibri"/>
          <w:b/>
          <w:color w:val="525866"/>
          <w:sz w:val="22"/>
        </w:rPr>
        <w:t>MIXED — POSITIVE ON DEMAND, CAUTIOUS ON BIOPROCESSING TIMING</w:t>
      </w:r>
    </w:p>
    <w:p>
      <w:r>
        <w:rPr>
          <w:rFonts w:ascii="Calibri" w:hAnsi="Calibri"/>
          <w:color w:val="525866"/>
          <w:sz w:val="22"/>
        </w:rPr>
        <w:t>DHR reported 2Q 2026 EPS of $1.94 vs. $1.84 consensus and revenue of $6.26B vs. $6.1B consensus, with operating margins of 27.1% vs. 26.6% consensus. The company raised full-year EPS guidance to $8.45–$8.60 from $8.35–$8.55. However, the stock fell ~14% (its worst day since 2001) as 3Q core revenue growth guidance of +2–3% fell well short of expectations, and the company narrowed full-year core revenue growth to 3–4% (anchoring to the low end). The key negative was &gt;$100M of bioprocessing revenue pushed out of 2Q/3Q into next year due to customer timing.</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DHR Commentary (2Q 2026 Earnings, July 21, 2026)</w:t>
            </w:r>
          </w:p>
        </w:tc>
        <w:tc>
          <w:tcPr>
            <w:tcW w:type="dxa" w:w="2880"/>
            <w:shd w:val="clear" w:color="auto" w:fill="3B4259"/>
          </w:tcPr>
          <w:p>
            <w:r>
              <w:rPr>
                <w:rFonts w:ascii="Calibri" w:hAnsi="Calibri"/>
                <w:b/>
                <w:color w:val="FFFFFF"/>
                <w:sz w:val="22"/>
              </w:rPr>
              <w:t>MTD Read-Through</w:t>
            </w:r>
          </w:p>
        </w:tc>
      </w:tr>
      <w:tr>
        <w:tc>
          <w:tcPr>
            <w:tcW w:type="dxa" w:w="2880"/>
          </w:tcPr>
          <w:p>
            <w:r>
              <w:rPr>
                <w:rFonts w:ascii="Calibri" w:hAnsi="Calibri"/>
                <w:sz w:val="22"/>
              </w:rPr>
              <w:t>Overall Outlook</w:t>
            </w:r>
          </w:p>
        </w:tc>
        <w:tc>
          <w:tcPr>
            <w:tcW w:type="dxa" w:w="2880"/>
          </w:tcPr>
          <w:p>
            <w:r>
              <w:rPr>
                <w:rFonts w:ascii="Calibri" w:hAnsi="Calibri"/>
                <w:sz w:val="22"/>
              </w:rPr>
              <w:t>Expects 3Q core revenue growth of ~2–3% (implies core ex-respiratory ~5%). Expects to exit 4Q at mid-single digit core revenue growth rate. Full-year core revenue growth 3–4%, anchoring to low end.</w:t>
            </w:r>
          </w:p>
        </w:tc>
        <w:tc>
          <w:tcPr>
            <w:tcW w:type="dxa" w:w="2880"/>
          </w:tcPr>
          <w:p>
            <w:r>
              <w:rPr>
                <w:rFonts w:ascii="Calibri" w:hAnsi="Calibri"/>
                <w:b/>
                <w:color w:val="E5484D"/>
                <w:sz w:val="22"/>
              </w:rPr>
              <w:t>Mixed. Acceleration expected in 2H is consistent with MTD's 2H improvement narrative, but DHR's 3Q guide miss signals the recovery is not linear.</w:t>
            </w:r>
          </w:p>
        </w:tc>
      </w:tr>
      <w:tr>
        <w:tc>
          <w:tcPr>
            <w:tcW w:type="dxa" w:w="2880"/>
          </w:tcPr>
          <w:p>
            <w:r>
              <w:rPr>
                <w:rFonts w:ascii="Calibri" w:hAnsi="Calibri"/>
                <w:sz w:val="22"/>
              </w:rPr>
              <w:t>Bioprocessing</w:t>
            </w:r>
          </w:p>
        </w:tc>
        <w:tc>
          <w:tcPr>
            <w:tcW w:type="dxa" w:w="2880"/>
          </w:tcPr>
          <w:p>
            <w:r>
              <w:rPr>
                <w:rFonts w:ascii="Calibri" w:hAnsi="Calibri"/>
                <w:sz w:val="22"/>
              </w:rPr>
              <w:t>Bioprocessing consumables growth came in below expectations as "a few large shipments for programs at our commercial customers moved out of the quarter." Over $100M shifted out of 2Q/3Q into next year. However, "underlying demand remained very healthy. With mid-teens order growth in both consumables and equipment." Confident in high single-digit long-term outlook.</w:t>
            </w:r>
          </w:p>
        </w:tc>
        <w:tc>
          <w:tcPr>
            <w:tcW w:type="dxa" w:w="2880"/>
          </w:tcPr>
          <w:p>
            <w:r>
              <w:rPr>
                <w:rFonts w:ascii="Calibri" w:hAnsi="Calibri"/>
                <w:b/>
                <w:color w:val="E5484D"/>
                <w:sz w:val="22"/>
              </w:rPr>
              <w:t>Cautious. Large order timing shifts in bioprocessing are a risk for MTD's biopharma segment. However, MTD's bioprocessing exposure is primarily instruments/consumables (not large chromatography resins), so the direct impact may be limited. Healthy underlying order growth is reassuring.</w:t>
            </w:r>
          </w:p>
        </w:tc>
      </w:tr>
      <w:tr>
        <w:tc>
          <w:tcPr>
            <w:tcW w:type="dxa" w:w="2880"/>
          </w:tcPr>
          <w:p>
            <w:r>
              <w:rPr>
                <w:rFonts w:ascii="Calibri" w:hAnsi="Calibri"/>
                <w:sz w:val="22"/>
              </w:rPr>
              <w:t>Pharma/Biopharma</w:t>
            </w:r>
          </w:p>
        </w:tc>
        <w:tc>
          <w:tcPr>
            <w:tcW w:type="dxa" w:w="2880"/>
          </w:tcPr>
          <w:p>
            <w:r>
              <w:rPr>
                <w:rFonts w:ascii="Calibri" w:hAnsi="Calibri"/>
                <w:sz w:val="22"/>
              </w:rPr>
              <w:t>"Demand from large pharma and biopharma customers remained healthy" and "investment from large pharma and biopharma customers continued to strengthen." "Improved biotech funding supported improved funnel and order activity."</w:t>
            </w:r>
          </w:p>
        </w:tc>
        <w:tc>
          <w:tcPr>
            <w:tcW w:type="dxa" w:w="2880"/>
          </w:tcPr>
          <w:p>
            <w:r>
              <w:rPr>
                <w:rFonts w:ascii="Calibri" w:hAnsi="Calibri"/>
                <w:b/>
                <w:color w:val="30A46C"/>
                <w:sz w:val="22"/>
              </w:rPr>
              <w:t>Positive. Sustained and strengthening demand from large pharma/biopharma is a positive indicator for MTD's lab and industrial solutions serving these customers.</w:t>
            </w:r>
          </w:p>
        </w:tc>
      </w:tr>
      <w:tr>
        <w:tc>
          <w:tcPr>
            <w:tcW w:type="dxa" w:w="2880"/>
          </w:tcPr>
          <w:p>
            <w:r>
              <w:rPr>
                <w:rFonts w:ascii="Calibri" w:hAnsi="Calibri"/>
                <w:sz w:val="22"/>
              </w:rPr>
              <w:t>China</w:t>
            </w:r>
          </w:p>
        </w:tc>
        <w:tc>
          <w:tcPr>
            <w:tcW w:type="dxa" w:w="2880"/>
          </w:tcPr>
          <w:p>
            <w:r>
              <w:rPr>
                <w:rFonts w:ascii="Calibri" w:hAnsi="Calibri"/>
                <w:sz w:val="22"/>
              </w:rPr>
              <w:t>"Mid-single digit growth in China" in 2Q. "Life sciences market conditions continued to stabilize." China policy headwinds "starting to lessen" in 3Q and 4Q, driving step-up in growth.</w:t>
            </w:r>
          </w:p>
        </w:tc>
        <w:tc>
          <w:tcPr>
            <w:tcW w:type="dxa" w:w="2880"/>
          </w:tcPr>
          <w:p>
            <w:r>
              <w:rPr>
                <w:rFonts w:ascii="Calibri" w:hAnsi="Calibri"/>
                <w:b/>
                <w:color w:val="30A46C"/>
                <w:sz w:val="22"/>
              </w:rPr>
              <w:t>Positive. Mid-single digit China growth and lessening policy headwinds are consistent with MTD's upgraded China guidance (mid-single digit for full year). Supports MTD's China industrial momentum narrative.</w:t>
            </w:r>
          </w:p>
        </w:tc>
      </w:tr>
      <w:tr>
        <w:tc>
          <w:tcPr>
            <w:tcW w:type="dxa" w:w="2880"/>
          </w:tcPr>
          <w:p>
            <w:r>
              <w:rPr>
                <w:rFonts w:ascii="Calibri" w:hAnsi="Calibri"/>
                <w:sz w:val="22"/>
              </w:rPr>
              <w:t>Academic/Government</w:t>
            </w:r>
          </w:p>
        </w:tc>
        <w:tc>
          <w:tcPr>
            <w:tcW w:type="dxa" w:w="2880"/>
          </w:tcPr>
          <w:p>
            <w:r>
              <w:rPr>
                <w:rFonts w:ascii="Calibri" w:hAnsi="Calibri"/>
                <w:sz w:val="22"/>
              </w:rPr>
              <w:t>"Academic demand improved modestly as the quarter progressed, but remained below normal levels." Need to see "more constructive perspective on academic funding" before calling an inflection point. Expecting "stability in the academic markets" for a while.</w:t>
            </w:r>
          </w:p>
        </w:tc>
        <w:tc>
          <w:tcPr>
            <w:tcW w:type="dxa" w:w="2880"/>
          </w:tcPr>
          <w:p>
            <w:r>
              <w:rPr>
                <w:rFonts w:ascii="Calibri" w:hAnsi="Calibri"/>
                <w:b/>
                <w:color w:val="E5484D"/>
                <w:sz w:val="22"/>
              </w:rPr>
              <w:t>Cautious. Continued below-normal academic demand is a headwind for MTD's pipette and lab instrument sales to academic institutions.</w:t>
            </w:r>
          </w:p>
        </w:tc>
      </w:tr>
      <w:tr>
        <w:tc>
          <w:tcPr>
            <w:tcW w:type="dxa" w:w="2880"/>
          </w:tcPr>
          <w:p>
            <w:r>
              <w:rPr>
                <w:rFonts w:ascii="Calibri" w:hAnsi="Calibri"/>
                <w:sz w:val="22"/>
              </w:rPr>
              <w:t>Industrial</w:t>
            </w:r>
          </w:p>
        </w:tc>
        <w:tc>
          <w:tcPr>
            <w:tcW w:type="dxa" w:w="2880"/>
          </w:tcPr>
          <w:p>
            <w:r>
              <w:rPr>
                <w:rFonts w:ascii="Calibri" w:hAnsi="Calibri"/>
                <w:sz w:val="22"/>
              </w:rPr>
              <w:t>Applied filtration (Paul) up ~10% in 2Q, led by microelectronics. "Pretty good growth in energy and aerospace." Semiconductor manufacturing filtration is a "consistent growth driver."</w:t>
            </w:r>
          </w:p>
        </w:tc>
        <w:tc>
          <w:tcPr>
            <w:tcW w:type="dxa" w:w="2880"/>
          </w:tcPr>
          <w:p>
            <w:r>
              <w:rPr>
                <w:rFonts w:ascii="Calibri" w:hAnsi="Calibri"/>
                <w:b/>
                <w:color w:val="30A46C"/>
                <w:sz w:val="22"/>
              </w:rPr>
              <w:t>Positive. Strong semiconductor and energy/aerospace industrial demand supports MTD's process analytics and industrial weighing segments.</w:t>
            </w:r>
          </w:p>
        </w:tc>
      </w:tr>
    </w:tbl>
    <w:p>
      <w:r>
        <w:rPr>
          <w:rFonts w:ascii="Calibri" w:hAnsi="Calibri"/>
          <w:color w:val="525866"/>
          <w:sz w:val="22"/>
        </w:rPr>
        <w:t>Source: DHR 2Q 2026 Earnings Call Transcript (July 21, 2026); DHR 2Q 2026 Earnings Release (July 20, 2026).</w:t>
      </w:r>
    </w:p>
    <w:p>
      <w:pPr>
        <w:pStyle w:val="Heading3"/>
      </w:pPr>
      <w:r>
        <w:rPr>
          <w:rFonts w:ascii="Calibri" w:hAnsi="Calibri"/>
          <w:b/>
          <w:color w:val="3B4259"/>
          <w:sz w:val="24"/>
        </w:rPr>
        <w:t>6C. Bruker (BRKR) — Jefferies Global Healthcare Conference (June 4, 2026)</w:t>
      </w:r>
    </w:p>
    <w:p>
      <w:r>
        <w:rPr>
          <w:rFonts w:ascii="Calibri" w:hAnsi="Calibri"/>
          <w:b/>
          <w:color w:val="525866"/>
          <w:sz w:val="22"/>
        </w:rPr>
        <w:t xml:space="preserve">Read-Through Assessment: </w:t>
      </w:r>
      <w:r>
        <w:rPr>
          <w:rFonts w:ascii="Calibri" w:hAnsi="Calibri"/>
          <w:b/>
          <w:color w:val="525866"/>
          <w:sz w:val="22"/>
        </w:rPr>
        <w:t>LIMITED — DIRECTIONALLY CONSISTENT</w:t>
      </w:r>
    </w:p>
    <w:p>
      <w:r>
        <w:rPr>
          <w:rFonts w:ascii="Calibri" w:hAnsi="Calibri"/>
          <w:color w:val="525866"/>
          <w:sz w:val="22"/>
        </w:rPr>
        <w:t>Bruker's CFO Gerald Herman presented at the Jefferies Global Healthcare Conference on June 4, 2026, providing forward-looking commentary on 2Q 2026 and FY 2026. BRKR is a smaller, more specialized peer (scientific instruments, mass spectrometry, NMR) with less direct overlap to MTD's core businesses, but some read-throughs are relevant.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BRKR Commentary (Jefferies Conference, June 4, 2026)</w:t>
            </w:r>
          </w:p>
        </w:tc>
        <w:tc>
          <w:tcPr>
            <w:tcW w:type="dxa" w:w="2880"/>
            <w:shd w:val="clear" w:color="auto" w:fill="3B4259"/>
          </w:tcPr>
          <w:p>
            <w:r>
              <w:rPr>
                <w:rFonts w:ascii="Calibri" w:hAnsi="Calibri"/>
                <w:b/>
                <w:color w:val="FFFFFF"/>
                <w:sz w:val="22"/>
              </w:rPr>
              <w:t>MTD Read-Through</w:t>
            </w:r>
          </w:p>
        </w:tc>
      </w:tr>
      <w:tr>
        <w:tc>
          <w:tcPr>
            <w:tcW w:type="dxa" w:w="2880"/>
          </w:tcPr>
          <w:p>
            <w:r>
              <w:rPr>
                <w:rFonts w:ascii="Calibri" w:hAnsi="Calibri"/>
                <w:sz w:val="22"/>
              </w:rPr>
              <w:t>Overall Outlook</w:t>
            </w:r>
          </w:p>
        </w:tc>
        <w:tc>
          <w:tcPr>
            <w:tcW w:type="dxa" w:w="2880"/>
          </w:tcPr>
          <w:p>
            <w:r>
              <w:rPr>
                <w:rFonts w:ascii="Calibri" w:hAnsi="Calibri"/>
                <w:sz w:val="22"/>
              </w:rPr>
              <w:t>Revenue "expected to turn into an organic growth story starting in the second quarter." Book-to-bill expected to be &gt;1.0 for 3 consecutive quarters. "Order performance looks good. So execution is going to be the key for us in the second quarter."</w:t>
            </w:r>
          </w:p>
        </w:tc>
        <w:tc>
          <w:tcPr>
            <w:tcW w:type="dxa" w:w="2880"/>
          </w:tcPr>
          <w:p>
            <w:r>
              <w:rPr>
                <w:rFonts w:ascii="Calibri" w:hAnsi="Calibri"/>
                <w:b/>
                <w:color w:val="30A46C"/>
                <w:sz w:val="22"/>
              </w:rPr>
              <w:t>Mildly positive. Return to organic growth in 2Q for BRKR is consistent with broader life science tools recovery narrative.</w:t>
            </w:r>
          </w:p>
        </w:tc>
      </w:tr>
      <w:tr>
        <w:tc>
          <w:tcPr>
            <w:tcW w:type="dxa" w:w="2880"/>
          </w:tcPr>
          <w:p>
            <w:r>
              <w:rPr>
                <w:rFonts w:ascii="Calibri" w:hAnsi="Calibri"/>
                <w:sz w:val="22"/>
              </w:rPr>
              <w:t>Biopharma</w:t>
            </w:r>
          </w:p>
        </w:tc>
        <w:tc>
          <w:tcPr>
            <w:tcW w:type="dxa" w:w="2880"/>
          </w:tcPr>
          <w:p>
            <w:r>
              <w:rPr>
                <w:rFonts w:ascii="Calibri" w:hAnsi="Calibri"/>
                <w:sz w:val="22"/>
              </w:rPr>
              <w:t>"Pharmaceuticals, just in the biotech pharma area was a little weaker for us in the first quarter, but that comes off of a fairly strong Q4 and looks like we're sort of rebounding again in the biopharma space in the second quarter." Biopharma "has seemed quite a bit stronger" in Europe and Asia vs. U.S.</w:t>
            </w:r>
          </w:p>
        </w:tc>
        <w:tc>
          <w:tcPr>
            <w:tcW w:type="dxa" w:w="2880"/>
          </w:tcPr>
          <w:p>
            <w:r>
              <w:rPr>
                <w:rFonts w:ascii="Calibri" w:hAnsi="Calibri"/>
                <w:b/>
                <w:color w:val="30A46C"/>
                <w:sz w:val="22"/>
              </w:rPr>
              <w:t>Mildly positive. Biopharma rebound in 2Q, especially in Europe and Asia, is consistent with MTD's expectation of better European bioprocessing in 2Q.</w:t>
            </w:r>
          </w:p>
        </w:tc>
      </w:tr>
      <w:tr>
        <w:tc>
          <w:tcPr>
            <w:tcW w:type="dxa" w:w="2880"/>
          </w:tcPr>
          <w:p>
            <w:r>
              <w:rPr>
                <w:rFonts w:ascii="Calibri" w:hAnsi="Calibri"/>
                <w:sz w:val="22"/>
              </w:rPr>
              <w:t>China</w:t>
            </w:r>
          </w:p>
        </w:tc>
        <w:tc>
          <w:tcPr>
            <w:tcW w:type="dxa" w:w="2880"/>
          </w:tcPr>
          <w:p>
            <w:r>
              <w:rPr>
                <w:rFonts w:ascii="Calibri" w:hAnsi="Calibri"/>
                <w:sz w:val="22"/>
              </w:rPr>
              <w:t>"Slightly more bullish view on China than some of our peers." Expects continued growth in industrial, applied, semi, and biotech pharma. China GDP "likely going to outperform most of the other economies." Significant growth expected in 2026 and 2027.</w:t>
            </w:r>
          </w:p>
        </w:tc>
        <w:tc>
          <w:tcPr>
            <w:tcW w:type="dxa" w:w="2880"/>
          </w:tcPr>
          <w:p>
            <w:r>
              <w:rPr>
                <w:rFonts w:ascii="Calibri" w:hAnsi="Calibri"/>
                <w:b/>
                <w:color w:val="30A46C"/>
                <w:sz w:val="22"/>
              </w:rPr>
              <w:t>Positive. Bullish China view from BRKR is consistent with MTD's upgraded mid-single digit China growth guidance.</w:t>
            </w:r>
          </w:p>
        </w:tc>
      </w:tr>
      <w:tr>
        <w:tc>
          <w:tcPr>
            <w:tcW w:type="dxa" w:w="2880"/>
          </w:tcPr>
          <w:p>
            <w:r>
              <w:rPr>
                <w:rFonts w:ascii="Calibri" w:hAnsi="Calibri"/>
                <w:sz w:val="22"/>
              </w:rPr>
              <w:t>U.S. Academic/Government</w:t>
            </w:r>
          </w:p>
        </w:tc>
        <w:tc>
          <w:tcPr>
            <w:tcW w:type="dxa" w:w="2880"/>
          </w:tcPr>
          <w:p>
            <w:r>
              <w:rPr>
                <w:rFonts w:ascii="Calibri" w:hAnsi="Calibri"/>
                <w:sz w:val="22"/>
              </w:rPr>
              <w:t>U.S. ACA/GOV market "still very challenging." "Not seeing a lot of movement in funding from an ACA/GOV perspective" as of June. Expects similar pattern to 2025 with funding delays pushing into 3Q. Orders not placed until 3Q "pretty unlikely" to impact 2026 performance.</w:t>
            </w:r>
          </w:p>
        </w:tc>
        <w:tc>
          <w:tcPr>
            <w:tcW w:type="dxa" w:w="2880"/>
          </w:tcPr>
          <w:p>
            <w:r>
              <w:rPr>
                <w:rFonts w:ascii="Calibri" w:hAnsi="Calibri"/>
                <w:b/>
                <w:color w:val="E5484D"/>
                <w:sz w:val="22"/>
              </w:rPr>
              <w:t>Cautious. Persistent U.S. academic funding challenges are a headwind for MTD's pipette and lab instrument sales to academic customers.</w:t>
            </w:r>
          </w:p>
        </w:tc>
      </w:tr>
    </w:tbl>
    <w:p>
      <w:r>
        <w:rPr>
          <w:rFonts w:ascii="Calibri" w:hAnsi="Calibri"/>
          <w:color w:val="525866"/>
          <w:sz w:val="22"/>
        </w:rPr>
        <w:t>Source: BRKR Jefferies Global Healthcare Conference Transcript (June 4, 2026).</w:t>
      </w:r>
    </w:p>
    <w:p>
      <w:pPr>
        <w:pStyle w:val="Heading3"/>
      </w:pPr>
      <w:r>
        <w:rPr>
          <w:rFonts w:ascii="Calibri" w:hAnsi="Calibri"/>
          <w:b/>
          <w:color w:val="3B4259"/>
          <w:sz w:val="24"/>
        </w:rPr>
        <w:t>6D. Agilent Technologies (A) — Jefferies Global Healthcare Conference (June 3, 2026)</w:t>
      </w:r>
    </w:p>
    <w:p>
      <w:r>
        <w:rPr>
          <w:rFonts w:ascii="Calibri" w:hAnsi="Calibri"/>
          <w:b/>
          <w:color w:val="525866"/>
          <w:sz w:val="22"/>
        </w:rPr>
        <w:t xml:space="preserve">Read-Through Assessment: </w:t>
      </w:r>
      <w:r>
        <w:rPr>
          <w:rFonts w:ascii="Calibri" w:hAnsi="Calibri"/>
          <w:b/>
          <w:color w:val="525866"/>
          <w:sz w:val="22"/>
        </w:rPr>
        <w:t>LIMITED — DIRECTIONALLY POSITIVE ON REPLACEMENT CYCLE &amp; CHINA STIMULUS</w:t>
      </w:r>
    </w:p>
    <w:p>
      <w:r>
        <w:rPr>
          <w:rFonts w:ascii="Calibri" w:hAnsi="Calibri"/>
          <w:color w:val="525866"/>
          <w:sz w:val="22"/>
        </w:rPr>
        <w:t>Agilent presented at the Jefferies Global Healthcare Conference on June 3, 2026. Agilent's primary businesses (chromatography, mass spectrometry, genomics) have limited direct overlap with MTD's core precision weighing and inspection businesses, but some themes are relevant.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Agilent Commentary (Jefferies Conference, June 3, 2026)</w:t>
            </w:r>
          </w:p>
        </w:tc>
        <w:tc>
          <w:tcPr>
            <w:tcW w:type="dxa" w:w="2880"/>
            <w:shd w:val="clear" w:color="auto" w:fill="3B4259"/>
          </w:tcPr>
          <w:p>
            <w:r>
              <w:rPr>
                <w:rFonts w:ascii="Calibri" w:hAnsi="Calibri"/>
                <w:b/>
                <w:color w:val="FFFFFF"/>
                <w:sz w:val="22"/>
              </w:rPr>
              <w:t>MTD Read-Through</w:t>
            </w:r>
          </w:p>
        </w:tc>
      </w:tr>
      <w:tr>
        <w:tc>
          <w:tcPr>
            <w:tcW w:type="dxa" w:w="2880"/>
          </w:tcPr>
          <w:p>
            <w:r>
              <w:rPr>
                <w:rFonts w:ascii="Calibri" w:hAnsi="Calibri"/>
                <w:sz w:val="22"/>
              </w:rPr>
              <w:t>Replacement Cycle</w:t>
            </w:r>
          </w:p>
        </w:tc>
        <w:tc>
          <w:tcPr>
            <w:tcW w:type="dxa" w:w="2880"/>
          </w:tcPr>
          <w:p>
            <w:r>
              <w:rPr>
                <w:rFonts w:ascii="Calibri" w:hAnsi="Calibri"/>
                <w:sz w:val="22"/>
              </w:rPr>
              <w:t>Book-to-bill &gt;1.0 for 9 consecutive quarters. LC/LCMS business seeing "low double-digit growth" with replacement cycle "humming along." Expects replacement cycle to add ~200–300bps to growth going forward. "We're 1/3 through the cycle."</w:t>
            </w:r>
          </w:p>
        </w:tc>
        <w:tc>
          <w:tcPr>
            <w:tcW w:type="dxa" w:w="2880"/>
          </w:tcPr>
          <w:p>
            <w:r>
              <w:rPr>
                <w:rFonts w:ascii="Calibri" w:hAnsi="Calibri"/>
                <w:b/>
                <w:color w:val="30A46C"/>
                <w:sz w:val="22"/>
              </w:rPr>
              <w:t>Positive. Agilent's replacement cycle momentum is consistent with MTD's commentary about aging installed base and gradual pickup in replacement activity. Supports MTD's 2H improvement narrative.</w:t>
            </w:r>
          </w:p>
        </w:tc>
      </w:tr>
      <w:tr>
        <w:tc>
          <w:tcPr>
            <w:tcW w:type="dxa" w:w="2880"/>
          </w:tcPr>
          <w:p>
            <w:r>
              <w:rPr>
                <w:rFonts w:ascii="Calibri" w:hAnsi="Calibri"/>
                <w:sz w:val="22"/>
              </w:rPr>
              <w:t>Pharma/Reshoring</w:t>
            </w:r>
          </w:p>
        </w:tc>
        <w:tc>
          <w:tcPr>
            <w:tcW w:type="dxa" w:w="2880"/>
          </w:tcPr>
          <w:p>
            <w:r>
              <w:rPr>
                <w:rFonts w:ascii="Calibri" w:hAnsi="Calibri"/>
                <w:sz w:val="22"/>
              </w:rPr>
              <w:t>MFN deals "removed the big overhang from our customers with reshoring coming in '27." Actively quoting for reshoring opportunities. "Aged installed base in pharma, particularly where we are downstream in QA/QC" combined with reshoring is a "great sweet spot."</w:t>
            </w:r>
          </w:p>
        </w:tc>
        <w:tc>
          <w:tcPr>
            <w:tcW w:type="dxa" w:w="2880"/>
          </w:tcPr>
          <w:p>
            <w:r>
              <w:rPr>
                <w:rFonts w:ascii="Calibri" w:hAnsi="Calibri"/>
                <w:b/>
                <w:color w:val="30A46C"/>
                <w:sz w:val="22"/>
              </w:rPr>
              <w:t>Positive. Reshoring as a 2027+ catalyst is consistent with MTD's onshoring opportunity narrative. QA/QC replacement cycle in pharma is directly relevant to MTD's lab and industrial segments.</w:t>
            </w:r>
          </w:p>
        </w:tc>
      </w:tr>
      <w:tr>
        <w:tc>
          <w:tcPr>
            <w:tcW w:type="dxa" w:w="2880"/>
          </w:tcPr>
          <w:p>
            <w:r>
              <w:rPr>
                <w:rFonts w:ascii="Calibri" w:hAnsi="Calibri"/>
                <w:sz w:val="22"/>
              </w:rPr>
              <w:t>China</w:t>
            </w:r>
          </w:p>
        </w:tc>
        <w:tc>
          <w:tcPr>
            <w:tcW w:type="dxa" w:w="2880"/>
          </w:tcPr>
          <w:p>
            <w:r>
              <w:rPr>
                <w:rFonts w:ascii="Calibri" w:hAnsi="Calibri"/>
                <w:sz w:val="22"/>
              </w:rPr>
              <w:t>China "a little bit slow" in 2Q but expects market to continue "humming along at $300M a quarter." SAMR stimulus (originally expected 2026) now pushed to 2027 — $50M opportunity with ~30% win rate expected. Improvement in China expected in 2027.</w:t>
            </w:r>
          </w:p>
        </w:tc>
        <w:tc>
          <w:tcPr>
            <w:tcW w:type="dxa" w:w="2880"/>
          </w:tcPr>
          <w:p>
            <w:r>
              <w:rPr>
                <w:rFonts w:ascii="Calibri" w:hAnsi="Calibri"/>
                <w:b/>
                <w:color w:val="E5484D"/>
                <w:sz w:val="22"/>
              </w:rPr>
              <w:t>Mixed. China slightly slow for Agilent in 2Q, but SAMR stimulus push-out to 2027 is a minor negative for the near-term China narrative. MTD's China exposure is more industrial-focused and less dependent on government stimulus.</w:t>
            </w:r>
          </w:p>
        </w:tc>
      </w:tr>
      <w:tr>
        <w:tc>
          <w:tcPr>
            <w:tcW w:type="dxa" w:w="2880"/>
          </w:tcPr>
          <w:p>
            <w:r>
              <w:rPr>
                <w:rFonts w:ascii="Calibri" w:hAnsi="Calibri"/>
                <w:sz w:val="22"/>
              </w:rPr>
              <w:t>Tariff Mitigation</w:t>
            </w:r>
          </w:p>
        </w:tc>
        <w:tc>
          <w:tcPr>
            <w:tcW w:type="dxa" w:w="2880"/>
          </w:tcPr>
          <w:p>
            <w:r>
              <w:rPr>
                <w:rFonts w:ascii="Calibri" w:hAnsi="Calibri"/>
                <w:sz w:val="22"/>
              </w:rPr>
              <w:t>"Ignite operating system now being able to mitigate tariffs, fully mitigated 200bps of pricing." Tariff refund of ~$70M for 2025 not included in guide due to uncertainty on timing.</w:t>
            </w:r>
          </w:p>
        </w:tc>
        <w:tc>
          <w:tcPr>
            <w:tcW w:type="dxa" w:w="2880"/>
          </w:tcPr>
          <w:p>
            <w:r>
              <w:rPr>
                <w:rFonts w:ascii="Calibri" w:hAnsi="Calibri"/>
                <w:b/>
                <w:color w:val="30A46C"/>
                <w:sz w:val="22"/>
              </w:rPr>
              <w:t>Positive. Successful tariff mitigation by peers supports MTD's confidence in its own tariff offset strategy. Potential tariff refunds (also excluded from MTD's guidance) represent upside optionality.</w:t>
            </w:r>
          </w:p>
        </w:tc>
      </w:tr>
    </w:tbl>
    <w:p>
      <w:r>
        <w:rPr>
          <w:rFonts w:ascii="Calibri" w:hAnsi="Calibri"/>
          <w:color w:val="525866"/>
          <w:sz w:val="22"/>
        </w:rPr>
        <w:t>Source: Agilent Jefferies Global Healthcare Conference Transcript (June 3, 2026).</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Net Signal</w:t>
            </w:r>
          </w:p>
        </w:tc>
        <w:tc>
          <w:tcPr>
            <w:tcW w:type="dxa" w:w="2880"/>
            <w:shd w:val="clear" w:color="auto" w:fill="3B4259"/>
          </w:tcPr>
          <w:p>
            <w:r>
              <w:rPr>
                <w:rFonts w:ascii="Calibri" w:hAnsi="Calibri"/>
                <w:b/>
                <w:color w:val="FFFFFF"/>
                <w:sz w:val="22"/>
              </w:rPr>
              <w:t>Key Peers</w:t>
            </w:r>
          </w:p>
        </w:tc>
      </w:tr>
      <w:tr>
        <w:tc>
          <w:tcPr>
            <w:tcW w:type="dxa" w:w="2880"/>
          </w:tcPr>
          <w:p>
            <w:r>
              <w:rPr>
                <w:rFonts w:ascii="Calibri" w:hAnsi="Calibri"/>
                <w:sz w:val="22"/>
              </w:rPr>
              <w:t>Pharma/Biopharma demand</w:t>
            </w:r>
          </w:p>
        </w:tc>
        <w:tc>
          <w:tcPr>
            <w:tcW w:type="dxa" w:w="2880"/>
          </w:tcPr>
          <w:p>
            <w:r>
              <w:rPr>
                <w:rFonts w:ascii="Calibri" w:hAnsi="Calibri"/>
                <w:b/>
                <w:color w:val="30A46C"/>
                <w:sz w:val="22"/>
              </w:rPr>
              <w:t>Positive</w:t>
            </w:r>
          </w:p>
        </w:tc>
        <w:tc>
          <w:tcPr>
            <w:tcW w:type="dxa" w:w="2880"/>
          </w:tcPr>
          <w:p>
            <w:r>
              <w:rPr>
                <w:rFonts w:ascii="Calibri" w:hAnsi="Calibri"/>
                <w:sz w:val="22"/>
              </w:rPr>
              <w:t>TMO, DHR, BRKR</w:t>
            </w:r>
          </w:p>
        </w:tc>
      </w:tr>
      <w:tr>
        <w:tc>
          <w:tcPr>
            <w:tcW w:type="dxa" w:w="2880"/>
          </w:tcPr>
          <w:p>
            <w:r>
              <w:rPr>
                <w:rFonts w:ascii="Calibri" w:hAnsi="Calibri"/>
                <w:sz w:val="22"/>
              </w:rPr>
              <w:t>Bioprocessing (near-term)</w:t>
            </w:r>
          </w:p>
        </w:tc>
        <w:tc>
          <w:tcPr>
            <w:tcW w:type="dxa" w:w="2880"/>
          </w:tcPr>
          <w:p>
            <w:r>
              <w:rPr>
                <w:rFonts w:ascii="Calibri" w:hAnsi="Calibri"/>
                <w:b/>
                <w:color w:val="E5484D"/>
                <w:sz w:val="22"/>
              </w:rPr>
              <w:t>Cautious — timing risk</w:t>
            </w:r>
          </w:p>
        </w:tc>
        <w:tc>
          <w:tcPr>
            <w:tcW w:type="dxa" w:w="2880"/>
          </w:tcPr>
          <w:p>
            <w:r>
              <w:rPr>
                <w:rFonts w:ascii="Calibri" w:hAnsi="Calibri"/>
                <w:sz w:val="22"/>
              </w:rPr>
              <w:t>DHR (&gt;$100M push-out)</w:t>
            </w:r>
          </w:p>
        </w:tc>
      </w:tr>
      <w:tr>
        <w:tc>
          <w:tcPr>
            <w:tcW w:type="dxa" w:w="2880"/>
          </w:tcPr>
          <w:p>
            <w:r>
              <w:rPr>
                <w:rFonts w:ascii="Calibri" w:hAnsi="Calibri"/>
                <w:sz w:val="22"/>
              </w:rPr>
              <w:t>China industrial/pharma</w:t>
            </w:r>
          </w:p>
        </w:tc>
        <w:tc>
          <w:tcPr>
            <w:tcW w:type="dxa" w:w="2880"/>
          </w:tcPr>
          <w:p>
            <w:r>
              <w:rPr>
                <w:rFonts w:ascii="Calibri" w:hAnsi="Calibri"/>
                <w:b/>
                <w:color w:val="30A46C"/>
                <w:sz w:val="22"/>
              </w:rPr>
              <w:t>Positive</w:t>
            </w:r>
          </w:p>
        </w:tc>
        <w:tc>
          <w:tcPr>
            <w:tcW w:type="dxa" w:w="2880"/>
          </w:tcPr>
          <w:p>
            <w:r>
              <w:rPr>
                <w:rFonts w:ascii="Calibri" w:hAnsi="Calibri"/>
                <w:sz w:val="22"/>
              </w:rPr>
              <w:t>TMO, DHR, BRKR</w:t>
            </w:r>
          </w:p>
        </w:tc>
      </w:tr>
      <w:tr>
        <w:tc>
          <w:tcPr>
            <w:tcW w:type="dxa" w:w="2880"/>
          </w:tcPr>
          <w:p>
            <w:r>
              <w:rPr>
                <w:rFonts w:ascii="Calibri" w:hAnsi="Calibri"/>
                <w:sz w:val="22"/>
              </w:rPr>
              <w:t>Lab instruments / analytical</w:t>
            </w:r>
          </w:p>
        </w:tc>
        <w:tc>
          <w:tcPr>
            <w:tcW w:type="dxa" w:w="2880"/>
          </w:tcPr>
          <w:p>
            <w:r>
              <w:rPr>
                <w:rFonts w:ascii="Calibri" w:hAnsi="Calibri"/>
                <w:b/>
                <w:color w:val="30A46C"/>
                <w:sz w:val="22"/>
              </w:rPr>
              <w:t>Positive</w:t>
            </w:r>
          </w:p>
        </w:tc>
        <w:tc>
          <w:tcPr>
            <w:tcW w:type="dxa" w:w="2880"/>
          </w:tcPr>
          <w:p>
            <w:r>
              <w:rPr>
                <w:rFonts w:ascii="Calibri" w:hAnsi="Calibri"/>
                <w:sz w:val="22"/>
              </w:rPr>
              <w:t>TMO (high single-digit growth)</w:t>
            </w:r>
          </w:p>
        </w:tc>
      </w:tr>
      <w:tr>
        <w:tc>
          <w:tcPr>
            <w:tcW w:type="dxa" w:w="2880"/>
          </w:tcPr>
          <w:p>
            <w:r>
              <w:rPr>
                <w:rFonts w:ascii="Calibri" w:hAnsi="Calibri"/>
                <w:sz w:val="22"/>
              </w:rPr>
              <w:t>Academic/Government funding</w:t>
            </w:r>
          </w:p>
        </w:tc>
        <w:tc>
          <w:tcPr>
            <w:tcW w:type="dxa" w:w="2880"/>
          </w:tcPr>
          <w:p>
            <w:r>
              <w:rPr>
                <w:rFonts w:ascii="Calibri" w:hAnsi="Calibri"/>
                <w:b/>
                <w:color w:val="E5484D"/>
                <w:sz w:val="22"/>
              </w:rPr>
              <w:t>Cautious — stabilizing but not recovering</w:t>
            </w:r>
          </w:p>
        </w:tc>
        <w:tc>
          <w:tcPr>
            <w:tcW w:type="dxa" w:w="2880"/>
          </w:tcPr>
          <w:p>
            <w:r>
              <w:rPr>
                <w:rFonts w:ascii="Calibri" w:hAnsi="Calibri"/>
                <w:sz w:val="22"/>
              </w:rPr>
              <w:t>TMO, DHR, BRKR</w:t>
            </w:r>
          </w:p>
        </w:tc>
      </w:tr>
      <w:tr>
        <w:tc>
          <w:tcPr>
            <w:tcW w:type="dxa" w:w="2880"/>
          </w:tcPr>
          <w:p>
            <w:r>
              <w:rPr>
                <w:rFonts w:ascii="Calibri" w:hAnsi="Calibri"/>
                <w:sz w:val="22"/>
              </w:rPr>
              <w:t>Industrial demand</w:t>
            </w:r>
          </w:p>
        </w:tc>
        <w:tc>
          <w:tcPr>
            <w:tcW w:type="dxa" w:w="2880"/>
          </w:tcPr>
          <w:p>
            <w:r>
              <w:rPr>
                <w:rFonts w:ascii="Calibri" w:hAnsi="Calibri"/>
                <w:b/>
                <w:color w:val="30A46C"/>
                <w:sz w:val="22"/>
              </w:rPr>
              <w:t>Positive</w:t>
            </w:r>
          </w:p>
        </w:tc>
        <w:tc>
          <w:tcPr>
            <w:tcW w:type="dxa" w:w="2880"/>
          </w:tcPr>
          <w:p>
            <w:r>
              <w:rPr>
                <w:rFonts w:ascii="Calibri" w:hAnsi="Calibri"/>
                <w:sz w:val="22"/>
              </w:rPr>
              <w:t>TMO (mid-SD), DHR (semi/energy)</w:t>
            </w:r>
          </w:p>
        </w:tc>
      </w:tr>
      <w:tr>
        <w:tc>
          <w:tcPr>
            <w:tcW w:type="dxa" w:w="2880"/>
          </w:tcPr>
          <w:p>
            <w:r>
              <w:rPr>
                <w:rFonts w:ascii="Calibri" w:hAnsi="Calibri"/>
                <w:sz w:val="22"/>
              </w:rPr>
              <w:t>Replacement cycle</w:t>
            </w:r>
          </w:p>
        </w:tc>
        <w:tc>
          <w:tcPr>
            <w:tcW w:type="dxa" w:w="2880"/>
          </w:tcPr>
          <w:p>
            <w:r>
              <w:rPr>
                <w:rFonts w:ascii="Calibri" w:hAnsi="Calibri"/>
                <w:b/>
                <w:color w:val="30A46C"/>
                <w:sz w:val="22"/>
              </w:rPr>
              <w:t>Positive — early innings</w:t>
            </w:r>
          </w:p>
        </w:tc>
        <w:tc>
          <w:tcPr>
            <w:tcW w:type="dxa" w:w="2880"/>
          </w:tcPr>
          <w:p>
            <w:r>
              <w:rPr>
                <w:rFonts w:ascii="Calibri" w:hAnsi="Calibri"/>
                <w:sz w:val="22"/>
              </w:rPr>
              <w:t>Agilent (1/3 through cycle)</w:t>
            </w:r>
          </w:p>
        </w:tc>
      </w:tr>
      <w:tr>
        <w:tc>
          <w:tcPr>
            <w:tcW w:type="dxa" w:w="2880"/>
          </w:tcPr>
          <w:p>
            <w:r>
              <w:rPr>
                <w:rFonts w:ascii="Calibri" w:hAnsi="Calibri"/>
                <w:sz w:val="22"/>
              </w:rPr>
              <w:t>Tariff mitigation</w:t>
            </w:r>
          </w:p>
        </w:tc>
        <w:tc>
          <w:tcPr>
            <w:tcW w:type="dxa" w:w="2880"/>
          </w:tcPr>
          <w:p>
            <w:r>
              <w:rPr>
                <w:rFonts w:ascii="Calibri" w:hAnsi="Calibri"/>
                <w:b/>
                <w:color w:val="30A46C"/>
                <w:sz w:val="22"/>
              </w:rPr>
              <w:t>Positive — peers executing</w:t>
            </w:r>
          </w:p>
        </w:tc>
        <w:tc>
          <w:tcPr>
            <w:tcW w:type="dxa" w:w="2880"/>
          </w:tcPr>
          <w:p>
            <w:r>
              <w:rPr>
                <w:rFonts w:ascii="Calibri" w:hAnsi="Calibri"/>
                <w:sz w:val="22"/>
              </w:rPr>
              <w:t>Agilent (200bps fully mitigated)</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w:t>
      </w:r>
      <w:r>
        <w:rPr>
          <w:rFonts w:ascii="Calibri" w:hAnsi="Calibri"/>
          <w:b/>
          <w:color w:val="525866"/>
          <w:sz w:val="22"/>
        </w:rPr>
        <w:t>Thermo Fisher's strong Q2 beat (July 23)</w:t>
      </w:r>
      <w:r>
        <w:rPr>
          <w:rFonts w:ascii="Calibri" w:hAnsi="Calibri"/>
          <w:color w:val="525866"/>
          <w:sz w:val="22"/>
        </w:rPr>
        <w:t>, which signals broad-based life science tools recovery and has driven MTD's stock to new post-Q1 highs. Danaher's Q3 guidance miss (July 21) is a secondary concern but appears company-specific rather than sector-wide.</w:t>
      </w:r>
    </w:p>
    <w:p>
      <w:pPr>
        <w:pStyle w:val="ListBullet"/>
        <w:ind w:left="360" w:hanging="360"/>
      </w:pPr>
      <w:r>
        <w:rPr>
          <w:rFonts w:ascii="Calibri" w:hAnsi="Calibri"/>
          <w:b/>
          <w:color w:val="525866"/>
          <w:sz w:val="22"/>
        </w:rPr>
        <w:t xml:space="preserve">July 23, 2026 — TMO 2Q 2026 Earnings Beat: </w:t>
      </w:r>
      <w:r>
        <w:rPr>
          <w:rFonts w:ascii="Calibri" w:hAnsi="Calibri"/>
          <w:color w:val="525866"/>
          <w:sz w:val="22"/>
        </w:rPr>
        <w:t xml:space="preserve">Thermo Fisher reported EPS of $6.03 vs. $5.72 consensus and organic growth of +5% (~200bps above consensus). Management raised full-year guidance and noted end markets "continue to strengthen." Stock rose ~10% on the day. </w:t>
      </w:r>
      <w:r>
        <w:rPr>
          <w:rFonts w:ascii="Calibri" w:hAnsi="Calibri"/>
          <w:b/>
          <w:color w:val="525866"/>
          <w:sz w:val="22"/>
        </w:rPr>
        <w:t xml:space="preserve">Implication: </w:t>
      </w:r>
      <w:r>
        <w:rPr>
          <w:rFonts w:ascii="Calibri" w:hAnsi="Calibri"/>
          <w:color w:val="525866"/>
          <w:sz w:val="22"/>
        </w:rPr>
        <w:t>Strongest positive read-through for MTD's 2Q print; signals broad-based life science tools recovery that should benefit MTD's lab and industrial segments.</w:t>
      </w:r>
    </w:p>
    <w:p>
      <w:pPr>
        <w:pStyle w:val="ListBullet"/>
        <w:ind w:left="360" w:hanging="360"/>
      </w:pPr>
      <w:r>
        <w:rPr>
          <w:rFonts w:ascii="Calibri" w:hAnsi="Calibri"/>
          <w:b/>
          <w:color w:val="525866"/>
          <w:sz w:val="22"/>
        </w:rPr>
        <w:t xml:space="preserve">July 21, 2026 — DHR 2Q 2026 Earnings: Q3 Guidance Miss: </w:t>
      </w:r>
      <w:r>
        <w:rPr>
          <w:rFonts w:ascii="Calibri" w:hAnsi="Calibri"/>
          <w:color w:val="525866"/>
          <w:sz w:val="22"/>
        </w:rPr>
        <w:t xml:space="preserve">Danaher beat 2Q estimates but guided 3Q core revenue growth to +2–3% (well below expectations) and pushed &gt;$100M of bioprocessing revenue out of the year. Stock fell ~14%, its worst day since 2001. </w:t>
      </w:r>
      <w:r>
        <w:rPr>
          <w:rFonts w:ascii="Calibri" w:hAnsi="Calibri"/>
          <w:b/>
          <w:color w:val="525866"/>
          <w:sz w:val="22"/>
        </w:rPr>
        <w:t xml:space="preserve">Implication: </w:t>
      </w:r>
      <w:r>
        <w:rPr>
          <w:rFonts w:ascii="Calibri" w:hAnsi="Calibri"/>
          <w:color w:val="525866"/>
          <w:sz w:val="22"/>
        </w:rPr>
        <w:t>Modest negative read-through for MTD's biopharma segment, though DHR's issues appear related to large chromatography resin shipment timing rather than broad demand weakness. MTD's bioprocessing exposure is primarily instruments, not large consumable shipments.</w:t>
      </w:r>
    </w:p>
    <w:p>
      <w:pPr>
        <w:pStyle w:val="ListBullet"/>
        <w:ind w:left="360" w:hanging="360"/>
      </w:pPr>
      <w:r>
        <w:rPr>
          <w:rFonts w:ascii="Calibri" w:hAnsi="Calibri"/>
          <w:b/>
          <w:color w:val="525866"/>
          <w:sz w:val="22"/>
        </w:rPr>
        <w:t xml:space="preserve">May 13, 2026 — MTD Executive Compensation Structure Change (8-K): </w:t>
      </w:r>
      <w:r>
        <w:rPr>
          <w:rFonts w:ascii="Calibri" w:hAnsi="Calibri"/>
          <w:color w:val="525866"/>
          <w:sz w:val="22"/>
        </w:rPr>
        <w:t xml:space="preserve">Mettler-Toledo altered its executive compensation structure, increasing long-term incentive (LTI) targets. </w:t>
      </w:r>
      <w:r>
        <w:rPr>
          <w:rFonts w:ascii="Calibri" w:hAnsi="Calibri"/>
          <w:b/>
          <w:color w:val="525866"/>
          <w:sz w:val="22"/>
        </w:rPr>
        <w:t xml:space="preserve">Implication: </w:t>
      </w:r>
      <w:r>
        <w:rPr>
          <w:rFonts w:ascii="Calibri" w:hAnsi="Calibri"/>
          <w:color w:val="525866"/>
          <w:sz w:val="22"/>
        </w:rPr>
        <w:t>Signals management confidence in long-term business trajectory; higher LTI targets align executive incentives with sustained performance. Not a guidance event.</w:t>
      </w:r>
    </w:p>
    <w:p>
      <w:pPr>
        <w:pStyle w:val="ListBullet"/>
        <w:ind w:left="360" w:hanging="360"/>
      </w:pPr>
      <w:r>
        <w:rPr>
          <w:rFonts w:ascii="Calibri" w:hAnsi="Calibri"/>
          <w:b/>
          <w:color w:val="525866"/>
          <w:sz w:val="22"/>
        </w:rPr>
        <w:t xml:space="preserve">May 11, 2026 — MTD Annual Meeting: All Proposals Approved (8-K): </w:t>
      </w:r>
      <w:r>
        <w:rPr>
          <w:rFonts w:ascii="Calibri" w:hAnsi="Calibri"/>
          <w:color w:val="525866"/>
          <w:sz w:val="22"/>
        </w:rPr>
        <w:t xml:space="preserve">Shareholders approved all proposals at the annual meeting. </w:t>
      </w:r>
      <w:r>
        <w:rPr>
          <w:rFonts w:ascii="Calibri" w:hAnsi="Calibri"/>
          <w:b/>
          <w:color w:val="525866"/>
          <w:sz w:val="22"/>
        </w:rPr>
        <w:t xml:space="preserve">Implication: </w:t>
      </w:r>
      <w:r>
        <w:rPr>
          <w:rFonts w:ascii="Calibri" w:hAnsi="Calibri"/>
          <w:color w:val="525866"/>
          <w:sz w:val="22"/>
        </w:rPr>
        <w:t>Routine governance event; no material business implications.</w:t>
      </w:r>
    </w:p>
    <w:p>
      <w:pPr>
        <w:pStyle w:val="ListBullet"/>
        <w:ind w:left="360" w:hanging="360"/>
      </w:pPr>
      <w:r>
        <w:rPr>
          <w:rFonts w:ascii="Calibri" w:hAnsi="Calibri"/>
          <w:b/>
          <w:color w:val="525866"/>
          <w:sz w:val="22"/>
        </w:rPr>
        <w:t xml:space="preserve">July 6, 2026 — MTD Announces 2Q 2026 Earnings Call (Press Release): </w:t>
      </w:r>
      <w:r>
        <w:rPr>
          <w:rFonts w:ascii="Calibri" w:hAnsi="Calibri"/>
          <w:color w:val="525866"/>
          <w:sz w:val="22"/>
        </w:rPr>
        <w:t xml:space="preserve">Mettler-Toledo announced it will host its 2Q 2026 earnings conference call on July 31, 2026. </w:t>
      </w:r>
      <w:r>
        <w:rPr>
          <w:rFonts w:ascii="Calibri" w:hAnsi="Calibri"/>
          <w:b/>
          <w:color w:val="525866"/>
          <w:sz w:val="22"/>
        </w:rPr>
        <w:t xml:space="preserve">Implication: </w:t>
      </w:r>
      <w:r>
        <w:rPr>
          <w:rFonts w:ascii="Calibri" w:hAnsi="Calibri"/>
          <w:color w:val="525866"/>
          <w:sz w:val="22"/>
        </w:rPr>
        <w:t>Confirms earnings date; no guidance update included.</w:t>
      </w:r>
    </w:p>
    <w:p>
      <w:pPr>
        <w:pStyle w:val="ListBullet"/>
        <w:ind w:left="360" w:hanging="360"/>
      </w:pPr>
      <w:r>
        <w:rPr>
          <w:rFonts w:ascii="Calibri" w:hAnsi="Calibri"/>
          <w:b/>
          <w:color w:val="525866"/>
          <w:sz w:val="22"/>
        </w:rPr>
        <w:t xml:space="preserve">May 1, 2026 — MTD Announces BofA Healthcare Conference Webcast: </w:t>
      </w:r>
      <w:r>
        <w:rPr>
          <w:rFonts w:ascii="Calibri" w:hAnsi="Calibri"/>
          <w:color w:val="525866"/>
          <w:sz w:val="22"/>
        </w:rPr>
        <w:t xml:space="preserve">MTD announced a webcast presentation at the BofA Securities 2026 Healthcare Conference. No transcript or material guidance update available in the research context. </w:t>
      </w:r>
      <w:r>
        <w:rPr>
          <w:rFonts w:ascii="Calibri" w:hAnsi="Calibri"/>
          <w:b/>
          <w:color w:val="525866"/>
          <w:sz w:val="22"/>
        </w:rPr>
        <w:t xml:space="preserve">Implication: </w:t>
      </w:r>
      <w:r>
        <w:rPr>
          <w:rFonts w:ascii="Calibri" w:hAnsi="Calibri"/>
          <w:color w:val="525866"/>
          <w:sz w:val="22"/>
        </w:rPr>
        <w:t>Routine investor relations activity; no material new information identified.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One insider transaction was identified for MTD in the period since the Q1 2026 earnings (May 7, 2026): a Form 144 notice of intended sale filed by Michael A. Kelly on July 28, 2026. This appears to be a planned sale (Form 144 is a notice of intended sale, typically associated with 10b5-1 plans or restricted stock). </w:t>
      </w:r>
      <w:r>
        <w:rPr>
          <w:rFonts w:ascii="Calibri" w:hAnsi="Calibri"/>
          <w:b/>
          <w:color w:val="525866"/>
          <w:sz w:val="22"/>
        </w:rPr>
        <w:t>No open-market discretionary buys or sells (Form 4 codes P/S) were identified for MTD in the period.</w:t>
      </w:r>
      <w:r>
        <w:rPr>
          <w:rFonts w:ascii="Calibri" w:hAnsi="Calibri"/>
          <w:color w:val="525866"/>
          <w:sz w:val="22"/>
        </w:rPr>
        <w:t xml:space="preserve"> The absence of open-market buying is not unusual given the stock's recovery to near all-time highs.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Kelly, Michael A.</w:t>
            </w:r>
          </w:p>
        </w:tc>
        <w:tc>
          <w:tcPr>
            <w:tcW w:type="dxa" w:w="1440"/>
          </w:tcPr>
          <w:p>
            <w:r>
              <w:rPr>
                <w:rFonts w:ascii="Calibri" w:hAnsi="Calibri"/>
                <w:sz w:val="22"/>
              </w:rPr>
              <w:t>N/A (title not specified in filing)</w:t>
            </w:r>
          </w:p>
        </w:tc>
        <w:tc>
          <w:tcPr>
            <w:tcW w:type="dxa" w:w="1440"/>
          </w:tcPr>
          <w:p>
            <w:r>
              <w:rPr>
                <w:rFonts w:ascii="Calibri" w:hAnsi="Calibri"/>
                <w:sz w:val="22"/>
              </w:rPr>
              <w:t>Form 144 — Notice of Intended Sale</w:t>
            </w:r>
          </w:p>
        </w:tc>
        <w:tc>
          <w:tcPr>
            <w:tcW w:type="dxa" w:w="1440"/>
          </w:tcPr>
          <w:p>
            <w:r>
              <w:rPr>
                <w:rFonts w:ascii="Calibri" w:hAnsi="Calibri"/>
                <w:sz w:val="22"/>
              </w:rPr>
              <w:t>$1,152,062</w:t>
            </w:r>
          </w:p>
        </w:tc>
        <w:tc>
          <w:tcPr>
            <w:tcW w:type="dxa" w:w="1440"/>
          </w:tcPr>
          <w:p>
            <w:r>
              <w:rPr>
                <w:rFonts w:ascii="Calibri" w:hAnsi="Calibri"/>
                <w:sz w:val="22"/>
              </w:rPr>
              <w:t>July 28, 2026</w:t>
            </w:r>
          </w:p>
        </w:tc>
        <w:tc>
          <w:tcPr>
            <w:tcW w:type="dxa" w:w="1440"/>
          </w:tcPr>
          <w:p>
            <w:r>
              <w:rPr>
                <w:rFonts w:ascii="Calibri" w:hAnsi="Calibri"/>
                <w:sz w:val="22"/>
              </w:rPr>
              <w:t>Form 144 is a notice of intended sale (filed before selling); typically associated with 10b5-1 plan or restricted stock disposition. Not a discretionary open-market sale.</w:t>
            </w:r>
          </w:p>
        </w:tc>
      </w:tr>
    </w:tbl>
    <w:p>
      <w:r>
        <w:rPr>
          <w:rFonts w:ascii="Calibri" w:hAnsi="Calibri"/>
          <w:color w:val="525866"/>
          <w:sz w:val="22"/>
        </w:rPr>
        <w:t>Source: SEC Form 144 filing (July 28, 2026); SEC EDGAR.</w:t>
      </w:r>
    </w:p>
    <w:p>
      <w:r>
        <w:rPr>
          <w:rFonts w:ascii="Calibri" w:hAnsi="Calibri"/>
          <w:b/>
          <w:color w:val="525866"/>
          <w:sz w:val="22"/>
        </w:rPr>
        <w:t xml:space="preserve">Overall assessment: </w:t>
      </w:r>
      <w:r>
        <w:rPr>
          <w:rFonts w:ascii="Calibri" w:hAnsi="Calibri"/>
          <w:color w:val="525866"/>
          <w:sz w:val="22"/>
        </w:rPr>
        <w:t>Nothing stands out as a meaningful insider signal. The single Form 144 notice is a routine planned sale and does not indicate discretionary bearish conviction. The absence of open-market buying is consistent with the stock trading near all-time highs. No Form 4 open-market purchases or sales (codes P/S) were identified for MTD in the period since Q1 earnings.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