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NCLH thoroughly before writing the preview. Let me start with several parallel searches.The dates confirm we're in mid-2026. Let me read the most recent earnings call (2026Q1) and release, and pull stock price and more news.Now let me get recent news, analyst activity, stock price performance, and insider transactions to round out the preview.The macro backdrop shows an escalating US-Iran conflict with oil spiking — very relevant for NCLH. Let me verify the insider buying angle and recent analyst sentiment.I now have what I need. Here's my earnings preview.</w:t>
      </w:r>
    </w:p>
    <w:p>
      <w:r>
        <w:pict>
          <v:rect style="width:0;height:1.5pt" o:hralign="center" o:hrstd="t" o:hr="t"/>
        </w:pict>
      </w:r>
    </w:p>
    <w:bookmarkStart w:id="22" w:name="nclh--q2-fy2026-earnings-preview"/>
    <w:p>
      <w:pPr>
        <w:pStyle w:val="Heading1"/>
      </w:pPr>
      <w:r>
        <w:t xml:space="preserve">NCLH — Q2 FY2026 Earnings Preview</w:t>
      </w:r>
    </w:p>
    <w:bookmarkStart w:id="9" w:name="X7efad1902ac4a3426bc8fb2c57d4929c8f11821"/>
    <w:p>
      <w:pPr>
        <w:pStyle w:val="Heading3"/>
      </w:pPr>
      <w:r>
        <w:t xml:space="preserve">Reports Thursday, July 30, 2026 (before market open) · 2026Q2 Earnings Call</w:t>
      </w:r>
    </w:p>
    <w:bookmarkEnd w:id="9"/>
    <w:bookmarkStart w:id="10" w:name="the-one-line-setup"/>
    <w:p>
      <w:pPr>
        <w:pStyle w:val="Heading2"/>
      </w:pPr>
      <w:r>
        <w:t xml:space="preserve">The one-line setup</w:t>
      </w:r>
    </w:p>
    <w:p>
      <w:pPr>
        <w:pStyle w:val="FirstParagraph"/>
      </w:pPr>
      <w:r>
        <w:t xml:space="preserve">This is a</w:t>
      </w:r>
      <w:r>
        <w:t xml:space="preserve"> </w:t>
      </w:r>
      <w:r>
        <w:rPr>
          <w:b/>
          <w:bCs/>
        </w:rPr>
        <w:t xml:space="preserve">"prove the floor" quarter for a self-described turnaround story.</w:t>
      </w:r>
      <w:r>
        <w:t xml:space="preserve"> </w:t>
      </w:r>
      <w:r>
        <w:t xml:space="preserve">The Q2 print itself is largely pre-baked by guidance given three months ago — the real action will be in the</w:t>
      </w:r>
      <w:r>
        <w:t xml:space="preserve"> </w:t>
      </w:r>
      <w:r>
        <w:rPr>
          <w:b/>
          <w:bCs/>
        </w:rPr>
        <w:t xml:space="preserve">Q3 guide and any full-year revision</w:t>
      </w:r>
      <w:r>
        <w:t xml:space="preserve">, because the US-Iran conflict that management flagged in May has since</w:t>
      </w:r>
      <w:r>
        <w:t xml:space="preserve"> </w:t>
      </w:r>
      <w:r>
        <w:rPr>
          <w:i/>
          <w:iCs/>
        </w:rPr>
        <w:t xml:space="preserve">escalated materially</w:t>
      </w:r>
      <w:r>
        <w:t xml:space="preserve">, and Europe is NCLH's single biggest exposure right into the seasonally critical third quarter.</w:t>
      </w:r>
    </w:p>
    <w:p>
      <w:r>
        <w:pict>
          <v:rect style="width:0;height:1.5pt" o:hralign="center" o:hrstd="t" o:hr="t"/>
        </w:pict>
      </w:r>
    </w:p>
    <w:bookmarkEnd w:id="10"/>
    <w:bookmarkStart w:id="11" w:name="X0d3624106af18f0a0deffce184e81eb76700ad2"/>
    <w:p>
      <w:pPr>
        <w:pStyle w:val="Heading2"/>
      </w:pPr>
      <w:r>
        <w:t xml:space="preserve">1. Context: what happened last quarter (Q1, reported May 4)</w:t>
      </w:r>
    </w:p>
    <w:p>
      <w:pPr>
        <w:pStyle w:val="FirstParagraph"/>
      </w:pPr>
      <w:r>
        <w:t xml:space="preserve">Q1 was the awkward combination of a</w:t>
      </w:r>
      <w:r>
        <w:t xml:space="preserve"> </w:t>
      </w:r>
      <w:r>
        <w:rPr>
          <w:b/>
          <w:bCs/>
        </w:rPr>
        <w:t xml:space="preserve">beat on the quarter and a cut to the year</w:t>
      </w:r>
      <w:r>
        <w:t xml:space="preserve"> </w:t>
      </w:r>
      <w:r>
        <w:t xml:space="preserve">— a classic "kitchen sink" moment for new CEO John Chidsey (in the seat since February 2026):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Q1'26 actual</w:t>
            </w:r>
          </w:p>
        </w:tc>
        <w:tc>
          <w:tcPr/>
          <w:p>
            <w:pPr>
              <w:pStyle w:val="Compact"/>
            </w:pPr>
            <w:r>
              <w:t xml:space="preserve">vs. guide / prior year</w:t>
            </w:r>
          </w:p>
        </w:tc>
      </w:tr>
      <w:tr>
        <w:tc>
          <w:tcPr/>
          <w:p>
            <w:pPr>
              <w:pStyle w:val="Compact"/>
            </w:pPr>
            <w:r>
              <w:t xml:space="preserve">Total revenue</w:t>
            </w:r>
          </w:p>
        </w:tc>
        <w:tc>
          <w:tcPr/>
          <w:p>
            <w:pPr>
              <w:pStyle w:val="Compact"/>
            </w:pPr>
            <w:r>
              <w:t xml:space="preserve">$2.33B</w:t>
            </w:r>
          </w:p>
        </w:tc>
        <w:tc>
          <w:tcPr/>
          <w:p>
            <w:pPr>
              <w:pStyle w:val="Compact"/>
            </w:pPr>
            <w:r>
              <w:t xml:space="preserve">+10% YoY</w:t>
            </w:r>
          </w:p>
        </w:tc>
      </w:tr>
      <w:tr>
        <w:tc>
          <w:tcPr/>
          <w:p>
            <w:pPr>
              <w:pStyle w:val="Compact"/>
            </w:pPr>
            <w:r>
              <w:t xml:space="preserve">Net Yield (CC)</w:t>
            </w:r>
          </w:p>
        </w:tc>
        <w:tc>
          <w:tcPr/>
          <w:p>
            <w:pPr>
              <w:pStyle w:val="Compact"/>
            </w:pPr>
            <w:r>
              <w:t xml:space="preserve">−1.0%</w:t>
            </w:r>
          </w:p>
        </w:tc>
        <w:tc>
          <w:tcPr/>
          <w:p>
            <w:pPr>
              <w:pStyle w:val="Compact"/>
            </w:pPr>
            <w:r>
              <w:t xml:space="preserve">Better than −1.6% guide</w:t>
            </w:r>
          </w:p>
        </w:tc>
      </w:tr>
      <w:tr>
        <w:tc>
          <w:tcPr/>
          <w:p>
            <w:pPr>
              <w:pStyle w:val="Compact"/>
            </w:pPr>
            <w:r>
              <w:t xml:space="preserve">Adj. NCC ex-fuel (CC)</w:t>
            </w:r>
          </w:p>
        </w:tc>
        <w:tc>
          <w:tcPr/>
          <w:p>
            <w:pPr>
              <w:pStyle w:val="Compact"/>
            </w:pPr>
            <w:r>
              <w:t xml:space="preserve">$168 (−1.0%)</w:t>
            </w:r>
          </w:p>
        </w:tc>
        <w:tc>
          <w:tcPr/>
          <w:p>
            <w:pPr>
              <w:pStyle w:val="Compact"/>
            </w:pPr>
            <w:r>
              <w:t xml:space="preserve">Better than guide</w:t>
            </w:r>
          </w:p>
        </w:tc>
      </w:tr>
      <w:tr>
        <w:tc>
          <w:tcPr/>
          <w:p>
            <w:pPr>
              <w:pStyle w:val="Compact"/>
            </w:pPr>
            <w:r>
              <w:t xml:space="preserve">Adj. EBITDA</w:t>
            </w:r>
          </w:p>
        </w:tc>
        <w:tc>
          <w:tcPr/>
          <w:p>
            <w:pPr>
              <w:pStyle w:val="Compact"/>
            </w:pPr>
            <w:r>
              <w:t xml:space="preserve">$533M</w:t>
            </w:r>
          </w:p>
        </w:tc>
        <w:tc>
          <w:tcPr/>
          <w:p>
            <w:pPr>
              <w:pStyle w:val="Compact"/>
            </w:pPr>
            <w:r>
              <w:t xml:space="preserve">Beat ~$515M guide; +18% YoY</w:t>
            </w:r>
          </w:p>
        </w:tc>
      </w:tr>
      <w:tr>
        <w:tc>
          <w:tcPr/>
          <w:p>
            <w:pPr>
              <w:pStyle w:val="Compact"/>
            </w:pPr>
            <w:r>
              <w:t xml:space="preserve">Adj. EPS</w:t>
            </w:r>
          </w:p>
        </w:tc>
        <w:tc>
          <w:tcPr/>
          <w:p>
            <w:pPr>
              <w:pStyle w:val="Compact"/>
            </w:pPr>
            <w:r>
              <w:t xml:space="preserve">$0.23</w:t>
            </w:r>
          </w:p>
        </w:tc>
        <w:tc>
          <w:tcPr/>
          <w:p>
            <w:pPr>
              <w:pStyle w:val="Compact"/>
            </w:pPr>
            <w:r>
              <w:t xml:space="preserve">Beat ~$0.16 guide; +121% YoY</w:t>
            </w:r>
          </w:p>
        </w:tc>
      </w:tr>
      <w:tr>
        <w:tc>
          <w:tcPr/>
          <w:p>
            <w:pPr>
              <w:pStyle w:val="Compact"/>
            </w:pPr>
            <w:r>
              <w:t xml:space="preserve">Net leverage</w:t>
            </w:r>
          </w:p>
        </w:tc>
        <w:tc>
          <w:tcPr/>
          <w:p>
            <w:pPr>
              <w:pStyle w:val="Compact"/>
            </w:pPr>
            <w:r>
              <w:t xml:space="preserve">5.3x</w:t>
            </w:r>
          </w:p>
        </w:tc>
        <w:tc>
          <w:tcPr/>
          <w:p>
            <w:pPr>
              <w:pStyle w:val="Compact"/>
            </w:pPr>
            <w:r>
              <w:t xml:space="preserve">Elevated</w:t>
            </w:r>
          </w:p>
        </w:tc>
      </w:tr>
    </w:tbl>
    <w:p>
      <w:pPr>
        <w:pStyle w:val="BodyText"/>
      </w:pPr>
      <w:r>
        <w:t xml:space="preserve">The problem was the</w:t>
      </w:r>
      <w:r>
        <w:t xml:space="preserve"> </w:t>
      </w:r>
      <w:r>
        <w:rPr>
          <w:b/>
          <w:bCs/>
        </w:rPr>
        <w:t xml:space="preserve">guide-down alongside it.</w:t>
      </w:r>
      <w:r>
        <w:t xml:space="preserve"> </w:t>
      </w:r>
      <w:r>
        <w:t xml:space="preserve">Management cut full-year net yield to</w:t>
      </w:r>
      <w:r>
        <w:t xml:space="preserve"> </w:t>
      </w:r>
      <w:r>
        <w:rPr>
          <w:b/>
          <w:bCs/>
        </w:rPr>
        <w:t xml:space="preserve">−3% to −5%</w:t>
      </w:r>
      <w:r>
        <w:t xml:space="preserve"> </w:t>
      </w:r>
      <w:r>
        <w:t xml:space="preserve">(constant currency), lowered FY26 Adj. EBITDA to</w:t>
      </w:r>
      <w:r>
        <w:t xml:space="preserve"> </w:t>
      </w:r>
      <m:oMath>
        <m:r>
          <m:t>2.48</m:t>
        </m:r>
        <m:r>
          <m:rPr>
            <m:sty m:val="p"/>
          </m:rPr>
          <m:t>–</m:t>
        </m:r>
        <m:r>
          <m:t>2.64</m:t>
        </m:r>
        <m:r>
          <m:t>B</m:t>
        </m:r>
        <m:r>
          <m:rPr>
            <m:sty m:val="p"/>
          </m:rPr>
          <m:t>*</m:t>
        </m:r>
        <m:r>
          <m:rPr>
            <m:sty m:val="p"/>
          </m:rPr>
          <m:t>*</m:t>
        </m:r>
        <m:r>
          <m:t>a</m:t>
        </m:r>
        <m:r>
          <m:t>n</m:t>
        </m:r>
        <m:r>
          <m:t>d</m:t>
        </m:r>
        <m:r>
          <m:t>A</m:t>
        </m:r>
        <m:r>
          <m:t>d</m:t>
        </m:r>
        <m:r>
          <m:t>j</m:t>
        </m:r>
        <m:r>
          <m:rPr>
            <m:sty m:val="p"/>
          </m:rPr>
          <m:t>.</m:t>
        </m:r>
        <m:r>
          <m:t>E</m:t>
        </m:r>
        <m:r>
          <m:t>P</m:t>
        </m:r>
        <m:r>
          <m:t>S</m:t>
        </m:r>
        <m:r>
          <m:t>t</m:t>
        </m:r>
        <m:r>
          <m:t>o</m:t>
        </m:r>
        <m:r>
          <m:rPr>
            <m:sty m:val="p"/>
          </m:rPr>
          <m:t>*</m:t>
        </m:r>
        <m:r>
          <m:rPr>
            <m:sty m:val="p"/>
          </m:rPr>
          <m:t>*</m:t>
        </m:r>
      </m:oMath>
      <w:r>
        <w:rPr>
          <w:b/>
          <w:bCs/>
        </w:rPr>
        <w:t xml:space="preserve">1.45–1.79</w:t>
      </w:r>
      <w:r>
        <w:t xml:space="preserve">, citing (a) entering the year</w:t>
      </w:r>
      <w:r>
        <w:t xml:space="preserve"> </w:t>
      </w:r>
      <w:r>
        <w:rPr>
          <w:i/>
          <w:iCs/>
        </w:rPr>
        <w:t xml:space="preserve">behind the booking curve</w:t>
      </w:r>
      <w:r>
        <w:t xml:space="preserve">, (b) internal marketing/revenue-management "missteps," and (c) a brand-new Middle East war impact that wasn't in prior guidance.</w:t>
      </w:r>
    </w:p>
    <w:p>
      <w:pPr>
        <w:pStyle w:val="BodyText"/>
      </w:pPr>
      <w:r>
        <w:rPr>
          <w:b/>
          <w:bCs/>
        </w:rPr>
        <w:t xml:space="preserve">Key framing from Chidsey:</w:t>
      </w:r>
      <w:r>
        <w:t xml:space="preserve"> </w:t>
      </w:r>
      <w:r>
        <w:t xml:space="preserve">the issues are "internal, operational and fixable"; the luxury brands (Oceania, Regent) are "just fine," and the entire problem sits at the</w:t>
      </w:r>
      <w:r>
        <w:t xml:space="preserve"> </w:t>
      </w:r>
      <w:r>
        <w:rPr>
          <w:b/>
          <w:bCs/>
        </w:rPr>
        <w:t xml:space="preserve">Norwegian brand</w:t>
      </w:r>
      <w:r>
        <w:t xml:space="preserve">. Management repeatedly warned:</w:t>
      </w:r>
      <w:r>
        <w:t xml:space="preserve"> </w:t>
      </w:r>
      <w:r>
        <w:rPr>
          <w:i/>
          <w:iCs/>
        </w:rPr>
        <w:t xml:space="preserve">cost fixes come fast, revenue recovery is a 2027 story.</w:t>
      </w:r>
    </w:p>
    <w:p>
      <w:r>
        <w:pict>
          <v:rect style="width:0;height:1.5pt" o:hralign="center" o:hrstd="t" o:hr="t"/>
        </w:pict>
      </w:r>
    </w:p>
    <w:bookmarkEnd w:id="11"/>
    <w:bookmarkStart w:id="12" w:name="X13babf12ad45ea8a4f64dfd729337183b456e39"/>
    <w:p>
      <w:pPr>
        <w:pStyle w:val="Heading2"/>
      </w:pPr>
      <w:r>
        <w:t xml:space="preserve">2. The bar for tomorrow (what management guided for Q2)</w:t>
      </w:r>
    </w:p>
    <w:p>
      <w:pPr>
        <w:pStyle w:val="FirstParagraph"/>
      </w:pPr>
      <w:r>
        <w:t xml:space="preserve">NCLH gave explicit Q2 guidance in May, so the "beat/miss" bar is well defined: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Q2'26 guide</w:t>
            </w:r>
          </w:p>
        </w:tc>
        <w:tc>
          <w:tcPr/>
          <w:p>
            <w:pPr>
              <w:pStyle w:val="Compact"/>
            </w:pPr>
            <w:r>
              <w:t xml:space="preserve">Level</w:t>
            </w:r>
          </w:p>
        </w:tc>
      </w:tr>
      <w:tr>
        <w:tc>
          <w:tcPr/>
          <w:p>
            <w:pPr>
              <w:pStyle w:val="Compact"/>
            </w:pPr>
            <w:r>
              <w:t xml:space="preserve">Net Yield (CC)</w:t>
            </w:r>
          </w:p>
        </w:tc>
        <w:tc>
          <w:tcPr/>
          <w:p>
            <w:pPr>
              <w:pStyle w:val="Compact"/>
            </w:pPr>
            <w:r>
              <w:t xml:space="preserve">~</w:t>
            </w:r>
            <w:r>
              <w:t xml:space="preserve"> </w:t>
            </w:r>
            <w:r>
              <w:rPr>
                <w:b/>
                <w:bCs/>
              </w:rPr>
              <w:t xml:space="preserve">−3.6%</w:t>
            </w:r>
            <w:r>
              <w:t xml:space="preserve"> </w:t>
            </w:r>
            <w:r>
              <w:t xml:space="preserve">(−3.2% as reported)</w:t>
            </w:r>
          </w:p>
        </w:tc>
      </w:tr>
      <w:tr>
        <w:tc>
          <w:tcPr/>
          <w:p>
            <w:pPr>
              <w:pStyle w:val="Compact"/>
            </w:pPr>
            <w:r>
              <w:t xml:space="preserve">Adj. NCC ex-fuel (CC)</w:t>
            </w:r>
          </w:p>
        </w:tc>
        <w:tc>
          <w:tcPr/>
          <w:p>
            <w:pPr>
              <w:pStyle w:val="Compact"/>
            </w:pPr>
            <w:r>
              <w:t xml:space="preserve">~</w:t>
            </w:r>
            <w:r>
              <w:t xml:space="preserve"> </w:t>
            </w:r>
            <w:r>
              <w:rPr>
                <w:b/>
                <w:bCs/>
              </w:rPr>
              <w:t xml:space="preserve">+1.0%</w:t>
            </w:r>
          </w:p>
        </w:tc>
      </w:tr>
      <w:tr>
        <w:tc>
          <w:tcPr/>
          <w:p>
            <w:pPr>
              <w:pStyle w:val="Compact"/>
            </w:pPr>
            <w:r>
              <w:t xml:space="preserve">Adj. EBITDA</w:t>
            </w:r>
          </w:p>
        </w:tc>
        <w:tc>
          <w:tcPr/>
          <w:p>
            <w:pPr>
              <w:pStyle w:val="Compact"/>
            </w:pPr>
            <w:r>
              <w:t xml:space="preserve">~</w:t>
            </w:r>
            <w:r>
              <w:t xml:space="preserve"> </w:t>
            </w:r>
            <w:r>
              <w:rPr>
                <w:b/>
                <w:bCs/>
              </w:rPr>
              <w:t xml:space="preserve">$632M</w:t>
            </w:r>
          </w:p>
        </w:tc>
      </w:tr>
      <w:tr>
        <w:tc>
          <w:tcPr/>
          <w:p>
            <w:pPr>
              <w:pStyle w:val="Compact"/>
            </w:pPr>
            <w:r>
              <w:t xml:space="preserve">Adj. Net Income</w:t>
            </w:r>
          </w:p>
        </w:tc>
        <w:tc>
          <w:tcPr/>
          <w:p>
            <w:pPr>
              <w:pStyle w:val="Compact"/>
            </w:pPr>
            <w:r>
              <w:t xml:space="preserve">~</w:t>
            </w:r>
            <w:r>
              <w:t xml:space="preserve"> </w:t>
            </w:r>
            <w:r>
              <w:rPr>
                <w:b/>
                <w:bCs/>
              </w:rPr>
              <w:t xml:space="preserve">$178M</w:t>
            </w:r>
          </w:p>
        </w:tc>
      </w:tr>
      <w:tr>
        <w:tc>
          <w:tcPr/>
          <w:p>
            <w:pPr>
              <w:pStyle w:val="Compact"/>
            </w:pPr>
            <w:r>
              <w:t xml:space="preserve">Adj. EPS</w:t>
            </w:r>
          </w:p>
        </w:tc>
        <w:tc>
          <w:tcPr/>
          <w:p>
            <w:pPr>
              <w:pStyle w:val="Compact"/>
            </w:pPr>
            <w:r>
              <w:t xml:space="preserve">~</w:t>
            </w:r>
            <w:r>
              <w:t xml:space="preserve"> </w:t>
            </w:r>
            <w:r>
              <w:rPr>
                <w:b/>
                <w:bCs/>
              </w:rPr>
              <w:t xml:space="preserve">$0.38</w:t>
            </w:r>
          </w:p>
        </w:tc>
      </w:tr>
      <w:tr>
        <w:tc>
          <w:tcPr/>
          <w:p>
            <w:pPr>
              <w:pStyle w:val="Compact"/>
            </w:pPr>
            <w:r>
              <w:t xml:space="preserve">Capacity Days</w:t>
            </w:r>
          </w:p>
        </w:tc>
        <w:tc>
          <w:tcPr/>
          <w:p>
            <w:pPr>
              <w:pStyle w:val="Compact"/>
            </w:pPr>
            <w:r>
              <w:t xml:space="preserve">~6.6M</w:t>
            </w:r>
          </w:p>
        </w:tc>
      </w:tr>
      <w:tr>
        <w:tc>
          <w:tcPr/>
          <w:p>
            <w:pPr>
              <w:pStyle w:val="Compact"/>
            </w:pPr>
            <w:r>
              <w:t xml:space="preserve">Occupancy</w:t>
            </w:r>
          </w:p>
        </w:tc>
        <w:tc>
          <w:tcPr/>
          <w:p>
            <w:pPr>
              <w:pStyle w:val="Compact"/>
            </w:pPr>
            <w:r>
              <w:t xml:space="preserve">~102.5%</w:t>
            </w:r>
          </w:p>
        </w:tc>
      </w:tr>
      <w:tr>
        <w:tc>
          <w:tcPr/>
          <w:p>
            <w:pPr>
              <w:pStyle w:val="Compact"/>
            </w:pPr>
            <w:r>
              <w:t xml:space="preserve">Fuel price/mt (net of hedges)</w:t>
            </w:r>
          </w:p>
        </w:tc>
        <w:tc>
          <w:tcPr/>
          <w:p>
            <w:pPr>
              <w:pStyle w:val="Compact"/>
            </w:pPr>
            <w:r>
              <w:t xml:space="preserve">~$860</w:t>
            </w:r>
          </w:p>
        </w:tc>
      </w:tr>
    </w:tbl>
    <w:p>
      <w:pPr>
        <w:pStyle w:val="BodyText"/>
      </w:pPr>
      <w:r>
        <w:t xml:space="preserve">Given Q1's cost beat, a modest EBITDA/EPS beat on the</w:t>
      </w:r>
      <w:r>
        <w:t xml:space="preserve"> </w:t>
      </w:r>
      <w:r>
        <w:rPr>
          <w:i/>
          <w:iCs/>
        </w:rPr>
        <w:t xml:space="preserve">quarter</w:t>
      </w:r>
      <w:r>
        <w:t xml:space="preserve"> </w:t>
      </w:r>
      <w:r>
        <w:t xml:space="preserve">is plausible.</w:t>
      </w:r>
      <w:r>
        <w:t xml:space="preserve"> </w:t>
      </w:r>
      <w:r>
        <w:rPr>
          <w:b/>
          <w:bCs/>
        </w:rPr>
        <w:t xml:space="preserve">But the quarter is not the point.</w:t>
      </w:r>
      <w:r>
        <w:t xml:space="preserve"> </w:t>
      </w:r>
      <w:r>
        <w:t xml:space="preserve">With Europe ~26% of Q2 deployment and management already flagging elevated cancellations, the Q2 yield number is unlikely to surprise positively — and investors will look straight past it.</w:t>
      </w:r>
    </w:p>
    <w:p>
      <w:r>
        <w:pict>
          <v:rect style="width:0;height:1.5pt" o:hralign="center" o:hrstd="t" o:hr="t"/>
        </w:pict>
      </w:r>
    </w:p>
    <w:bookmarkEnd w:id="12"/>
    <w:bookmarkStart w:id="16" w:name="Xfadb8d7152b56a817b7ed410b7906899b5bd33d"/>
    <w:p>
      <w:pPr>
        <w:pStyle w:val="Heading2"/>
      </w:pPr>
      <w:r>
        <w:t xml:space="preserve">3. The three things that will actually move the stock</w:t>
      </w:r>
    </w:p>
    <w:bookmarkStart w:id="13" w:name="a-the-q3-guide--this-is-the-crux"/>
    <w:p>
      <w:pPr>
        <w:pStyle w:val="Heading3"/>
      </w:pPr>
      <w:r>
        <w:t xml:space="preserve">(a) The Q3 guide — this is the crux</w:t>
      </w:r>
    </w:p>
    <w:p>
      <w:pPr>
        <w:pStyle w:val="FirstParagraph"/>
      </w:pPr>
      <w:r>
        <w:t xml:space="preserve">Management pre-warned that</w:t>
      </w:r>
      <w:r>
        <w:t xml:space="preserve"> </w:t>
      </w:r>
      <w:r>
        <w:rPr>
          <w:b/>
          <w:bCs/>
        </w:rPr>
        <w:t xml:space="preserve">Q3 will be "significantly weaker" than Q2</w:t>
      </w:r>
      <w:r>
        <w:t xml:space="preserve">, because Europe jumps to</w:t>
      </w:r>
      <w:r>
        <w:t xml:space="preserve"> </w:t>
      </w:r>
      <w:r>
        <w:rPr>
          <w:b/>
          <w:bCs/>
        </w:rPr>
        <w:t xml:space="preserve">~38% of Q3 deployment</w:t>
      </w:r>
      <w:r>
        <w:t xml:space="preserve"> </w:t>
      </w:r>
      <w:r>
        <w:t xml:space="preserve">(its highest-exposure quarter) plus soft Alaska. On the Q1 call, CFO Mark Kempa said there is "a scenario where you could see</w:t>
      </w:r>
      <w:r>
        <w:t xml:space="preserve"> </w:t>
      </w:r>
      <w:r>
        <w:rPr>
          <w:b/>
          <w:bCs/>
        </w:rPr>
        <w:t xml:space="preserve">high-single-digit negative yields in Q3</w:t>
      </w:r>
      <w:r>
        <w:t xml:space="preserve">." That is the number to watch tomorrow. Anything worse than roughly down high-single-digits would confirm the war is still deteriorating the book; a number in line or slightly better would be a relief.</w:t>
      </w:r>
    </w:p>
    <w:bookmarkEnd w:id="13"/>
    <w:bookmarkStart w:id="14" w:name="X93f795e318a0ec73263d90f5d66b4d01f714012"/>
    <w:p>
      <w:pPr>
        <w:pStyle w:val="Heading3"/>
      </w:pPr>
      <w:r>
        <w:t xml:space="preserve">(b) The escalating US-Iran war — the fresh, un-modeled risk</w:t>
      </w:r>
    </w:p>
    <w:p>
      <w:pPr>
        <w:pStyle w:val="FirstParagraph"/>
      </w:pPr>
      <w:r>
        <w:t xml:space="preserve">This is the most important</w:t>
      </w:r>
      <w:r>
        <w:t xml:space="preserve"> </w:t>
      </w:r>
      <w:r>
        <w:rPr>
          <w:i/>
          <w:iCs/>
        </w:rPr>
        <w:t xml:space="preserve">new</w:t>
      </w:r>
      <w:r>
        <w:t xml:space="preserve"> </w:t>
      </w:r>
      <w:r>
        <w:t xml:space="preserve">variable versus the May guide. When NCLH cut guidance, it assumed "the environment stays the way it is." It has since gotten</w:t>
      </w:r>
      <w:r>
        <w:t xml:space="preserve"> </w:t>
      </w:r>
      <w:r>
        <w:rPr>
          <w:b/>
          <w:bCs/>
        </w:rPr>
        <w:t xml:space="preserve">worse</w:t>
      </w:r>
      <w:r>
        <w:t xml:space="preserve">: as of late July, oil is spiking on US and Iranian strikes, and</w:t>
      </w:r>
      <w:r>
        <w:t xml:space="preserve"> </w:t>
      </w:r>
      <w:r>
        <w:rPr>
          <w:b/>
          <w:bCs/>
        </w:rPr>
        <w:t xml:space="preserve">tanker traffic through the Strait of Hormuz has essentially halted</w:t>
      </w:r>
      <w:r>
        <w:t xml:space="preserve">, with hopes for reopening fading. For NCLH this cuts two ways:</w:t>
      </w:r>
    </w:p>
    <w:p>
      <w:pPr>
        <w:pStyle w:val="Compact"/>
        <w:numPr>
          <w:ilvl w:val="0"/>
          <w:numId w:val="1001"/>
        </w:numPr>
      </w:pPr>
      <w:r>
        <w:rPr>
          <w:b/>
          <w:bCs/>
        </w:rPr>
        <w:t xml:space="preserve">Fuel:</w:t>
      </w:r>
      <w:r>
        <w:t xml:space="preserve"> </w:t>
      </w:r>
      <w:r>
        <w:t xml:space="preserve">FY fuel was guided to ~</w:t>
      </w:r>
      <m:oMath>
        <m:r>
          <m:t>800</m:t>
        </m:r>
        <m:r>
          <m:t>M</m:t>
        </m:r>
        <m:r>
          <m:rPr>
            <m:sty m:val="p"/>
          </m:rPr>
          <m:t>(</m:t>
        </m:r>
        <m:r>
          <m:t>u</m:t>
        </m:r>
        <m:r>
          <m:t>p</m:t>
        </m:r>
        <m:r>
          <m:t>f</m:t>
        </m:r>
        <m:r>
          <m:t>r</m:t>
        </m:r>
        <m:r>
          <m:t>o</m:t>
        </m:r>
        <m:r>
          <m:t>m</m:t>
        </m:r>
        <m:r>
          <m:t>p</m:t>
        </m:r>
        <m:r>
          <m:t>r</m:t>
        </m:r>
        <m:r>
          <m:t>i</m:t>
        </m:r>
        <m:r>
          <m:t>o</m:t>
        </m:r>
        <m:r>
          <m:t>r</m:t>
        </m:r>
        <m:r>
          <m:rPr>
            <m:sty m:val="p"/>
          </m:rPr>
          <m:t>)</m:t>
        </m:r>
        <m:r>
          <m:t>w</m:t>
        </m:r>
        <m:r>
          <m:t>i</m:t>
        </m:r>
        <m:r>
          <m:t>t</m:t>
        </m:r>
        <m:r>
          <m:t>h</m:t>
        </m:r>
        <m:r>
          <m:t>Q</m:t>
        </m:r>
        <m:r>
          <m:t>2</m:t>
        </m:r>
        <m:r>
          <m:t>a</m:t>
        </m:r>
        <m:r>
          <m:t>t</m:t>
        </m:r>
        <m:r>
          <m:t> </m:t>
        </m:r>
      </m:oMath>
      <w:r>
        <w:t xml:space="preserve">860/mt. Only ~51% of 2026 tonnage is hedged, so a sustained oil spike flows through. Watch for a higher fuel assumption.</w:t>
      </w:r>
    </w:p>
    <w:p>
      <w:pPr>
        <w:pStyle w:val="Compact"/>
        <w:numPr>
          <w:ilvl w:val="0"/>
          <w:numId w:val="1001"/>
        </w:numPr>
      </w:pPr>
      <w:r>
        <w:rPr>
          <w:b/>
          <w:bCs/>
        </w:rPr>
        <w:t xml:space="preserve">Demand:</w:t>
      </w:r>
      <w:r>
        <w:t xml:space="preserve"> </w:t>
      </w:r>
      <w:r>
        <w:t xml:space="preserve">NCLH sources most of its European itineraries from US guests, giving it</w:t>
      </w:r>
      <w:r>
        <w:t xml:space="preserve"> </w:t>
      </w:r>
      <w:r>
        <w:rPr>
          <w:i/>
          <w:iCs/>
        </w:rPr>
        <w:t xml:space="preserve">outsized</w:t>
      </w:r>
      <w:r>
        <w:t xml:space="preserve"> </w:t>
      </w:r>
      <w:r>
        <w:t xml:space="preserve">exposure to geopolitical anxiety versus peers. Management already said the war is bleeding into US close-in demand ("downstream ancillary effects").</w:t>
      </w:r>
    </w:p>
    <w:p>
      <w:pPr>
        <w:pStyle w:val="Compact"/>
        <w:numPr>
          <w:ilvl w:val="0"/>
          <w:numId w:val="1001"/>
        </w:numPr>
      </w:pPr>
      <w:r>
        <w:rPr>
          <w:b/>
          <w:bCs/>
        </w:rPr>
        <w:t xml:space="preserve">Bottom line:</w:t>
      </w:r>
      <w:r>
        <w:t xml:space="preserve"> </w:t>
      </w:r>
      <w:r>
        <w:t xml:space="preserve">There is a</w:t>
      </w:r>
      <w:r>
        <w:t xml:space="preserve"> </w:t>
      </w:r>
      <w:r>
        <w:rPr>
          <w:b/>
          <w:bCs/>
        </w:rPr>
        <w:t xml:space="preserve">real risk of a second guidance cut</w:t>
      </w:r>
      <w:r>
        <w:t xml:space="preserve"> </w:t>
      </w:r>
      <w:r>
        <w:t xml:space="preserve">(yields and/or fuel), particularly for Q3/Q4.</w:t>
      </w:r>
    </w:p>
    <w:bookmarkEnd w:id="14"/>
    <w:bookmarkStart w:id="15" w:name="c-booking--demand-stabilization-signals"/>
    <w:p>
      <w:pPr>
        <w:pStyle w:val="Heading3"/>
      </w:pPr>
      <w:r>
        <w:t xml:space="preserve">(c) Booking / demand stabilization signals</w:t>
      </w:r>
    </w:p>
    <w:p>
      <w:pPr>
        <w:pStyle w:val="FirstParagraph"/>
      </w:pPr>
      <w:r>
        <w:t xml:space="preserve">The bull case rests on "green shoots." Look for: any commentary that European cancellations have stabilized, the ramp of the</w:t>
      </w:r>
      <w:r>
        <w:t xml:space="preserve"> </w:t>
      </w:r>
      <w:r>
        <w:rPr>
          <w:b/>
          <w:bCs/>
        </w:rPr>
        <w:t xml:space="preserve">Great Stirrup Cay / Great Tides Waterpark</w:t>
      </w:r>
      <w:r>
        <w:t xml:space="preserve"> </w:t>
      </w:r>
      <w:r>
        <w:t xml:space="preserve">marketing campaign (opening late summer — a Q4 and 2027 demand lever), 2027 booking-curve positioning, and whether occupancy is recovering toward the historical ~107% (it guided ~104% for FY26, well below the old peak).</w:t>
      </w:r>
    </w:p>
    <w:p>
      <w:r>
        <w:pict>
          <v:rect style="width:0;height:1.5pt" o:hralign="center" o:hrstd="t" o:hr="t"/>
        </w:pict>
      </w:r>
    </w:p>
    <w:bookmarkEnd w:id="15"/>
    <w:bookmarkEnd w:id="16"/>
    <w:bookmarkStart w:id="17" w:name="X0b5575eeef0a1f868f4886db845d732fa049c48"/>
    <w:p>
      <w:pPr>
        <w:pStyle w:val="Heading2"/>
      </w:pPr>
      <w:r>
        <w:t xml:space="preserve">4. The turnaround scorecard — where's the progress?</w:t>
      </w:r>
    </w:p>
    <w:p>
      <w:pPr>
        <w:pStyle w:val="Compact"/>
        <w:numPr>
          <w:ilvl w:val="0"/>
          <w:numId w:val="1002"/>
        </w:numPr>
      </w:pPr>
      <w:r>
        <w:rPr>
          <w:b/>
          <w:bCs/>
        </w:rPr>
        <w:t xml:space="preserve">Cost side (moving fast):</w:t>
      </w:r>
      <w:r>
        <w:t xml:space="preserve"> </w:t>
      </w:r>
      <w:r>
        <w:t xml:space="preserve">~</w:t>
      </w:r>
      <w:r>
        <w:t xml:space="preserve">$125M annualized SG&amp;A run-rate savings identified, ~15% cut to salary/benefits, marketing spend reduction (NCLH was reportedly spending ~2x peers per berth), offshoring pilots. This keeps Adj. NCC ex-fuel roughly flat for a third straight sub-inflationary year, cumulative savings approaching ~$</w:t>
      </w:r>
      <w:r>
        <w:t xml:space="preserve">400M.</w:t>
      </w:r>
      <w:r>
        <w:t xml:space="preserve"> </w:t>
      </w:r>
      <w:r>
        <w:rPr>
          <w:b/>
          <w:bCs/>
        </w:rPr>
        <w:t xml:space="preserve">Watch for incremental cost actions</w:t>
      </w:r>
      <w:r>
        <w:t xml:space="preserve"> </w:t>
      </w:r>
      <w:r>
        <w:t xml:space="preserve">— Kempa hinted more are coming, which could partially offset revenue weakness and cushion leverage.</w:t>
      </w:r>
    </w:p>
    <w:p>
      <w:pPr>
        <w:pStyle w:val="Compact"/>
        <w:numPr>
          <w:ilvl w:val="0"/>
          <w:numId w:val="1002"/>
        </w:numPr>
      </w:pPr>
      <w:r>
        <w:rPr>
          <w:b/>
          <w:bCs/>
        </w:rPr>
        <w:t xml:space="preserve">Revenue side (slow):</w:t>
      </w:r>
      <w:r>
        <w:t xml:space="preserve"> </w:t>
      </w:r>
      <w:r>
        <w:t xml:space="preserve">New revenue-management system (Phase 1 live, still being calibrated), new NCL marketing leadership being hired, realigning marketing with deployment/revenue management. Management is explicit this won't bear fruit until</w:t>
      </w:r>
      <w:r>
        <w:t xml:space="preserve"> </w:t>
      </w:r>
      <w:r>
        <w:rPr>
          <w:b/>
          <w:bCs/>
        </w:rPr>
        <w:t xml:space="preserve">2027</w:t>
      </w:r>
      <w:r>
        <w:t xml:space="preserve">, with possible near-term "variability."</w:t>
      </w:r>
    </w:p>
    <w:p>
      <w:pPr>
        <w:pStyle w:val="Compact"/>
        <w:numPr>
          <w:ilvl w:val="0"/>
          <w:numId w:val="1002"/>
        </w:numPr>
      </w:pPr>
      <w:r>
        <w:rPr>
          <w:b/>
          <w:bCs/>
        </w:rPr>
        <w:t xml:space="preserve">Watch for:</w:t>
      </w:r>
      <w:r>
        <w:t xml:space="preserve"> </w:t>
      </w:r>
      <w:r>
        <w:t xml:space="preserve">whether cost cuts are hitting "muscle not fat" (a direct analyst concern last quarter) — i.e., are aggressive cuts contributing to the top-line weakness?</w:t>
      </w:r>
    </w:p>
    <w:p>
      <w:r>
        <w:pict>
          <v:rect style="width:0;height:1.5pt" o:hralign="center" o:hrstd="t" o:hr="t"/>
        </w:pict>
      </w:r>
    </w:p>
    <w:bookmarkEnd w:id="17"/>
    <w:bookmarkStart w:id="18" w:name="X38bc0fbe064837ad4528fe85cf4df03ea047dae"/>
    <w:p>
      <w:pPr>
        <w:pStyle w:val="Heading2"/>
      </w:pPr>
      <w:r>
        <w:t xml:space="preserve">5. Balance sheet — the overhang</w:t>
      </w:r>
    </w:p>
    <w:p>
      <w:pPr>
        <w:pStyle w:val="Compact"/>
        <w:numPr>
          <w:ilvl w:val="0"/>
          <w:numId w:val="1003"/>
        </w:numPr>
      </w:pPr>
      <w:r>
        <w:t xml:space="preserve">Total debt</w:t>
      </w:r>
      <w:r>
        <w:t xml:space="preserve"> </w:t>
      </w:r>
      <m:oMath>
        <m:r>
          <m:t>15.2</m:t>
        </m:r>
        <m:r>
          <m:t>B</m:t>
        </m:r>
        <m:r>
          <m:rPr>
            <m:sty m:val="p"/>
          </m:rPr>
          <m:t>*</m:t>
        </m:r>
        <m:r>
          <m:rPr>
            <m:sty m:val="p"/>
          </m:rPr>
          <m:t>*</m:t>
        </m:r>
        <m:r>
          <m:rPr>
            <m:sty m:val="p"/>
          </m:rPr>
          <m:t>,</m:t>
        </m:r>
        <m:r>
          <m:t>n</m:t>
        </m:r>
        <m:r>
          <m:t>e</m:t>
        </m:r>
        <m:r>
          <m:t>t</m:t>
        </m:r>
        <m:r>
          <m:t>d</m:t>
        </m:r>
        <m:r>
          <m:t>e</m:t>
        </m:r>
        <m:r>
          <m:t>b</m:t>
        </m:r>
        <m:r>
          <m:t>t</m:t>
        </m:r>
        <m:r>
          <m:rPr>
            <m:sty m:val="p"/>
          </m:rPr>
          <m:t>*</m:t>
        </m:r>
        <m:r>
          <m:rPr>
            <m:sty m:val="p"/>
          </m:rPr>
          <m:t>*</m:t>
        </m:r>
      </m:oMath>
      <w:r>
        <w:rPr>
          <w:b/>
          <w:bCs/>
        </w:rPr>
        <w:t xml:space="preserve">15.0B</w:t>
      </w:r>
      <w:r>
        <w:t xml:space="preserve">, net leverage</w:t>
      </w:r>
      <w:r>
        <w:t xml:space="preserve"> </w:t>
      </w:r>
      <w:r>
        <w:rPr>
          <w:b/>
          <w:bCs/>
        </w:rPr>
        <w:t xml:space="preserve">5.3x</w:t>
      </w:r>
      <w:r>
        <w:t xml:space="preserve"> </w:t>
      </w:r>
      <w:r>
        <w:t xml:space="preserve">at Q1.</w:t>
      </w:r>
    </w:p>
    <w:p>
      <w:pPr>
        <w:pStyle w:val="Compact"/>
        <w:numPr>
          <w:ilvl w:val="0"/>
          <w:numId w:val="1003"/>
        </w:numPr>
      </w:pPr>
      <w:r>
        <w:t xml:space="preserve">Management said the guidance cut pushes year-end leverage into the</w:t>
      </w:r>
      <w:r>
        <w:t xml:space="preserve"> </w:t>
      </w:r>
      <w:r>
        <w:rPr>
          <w:b/>
          <w:bCs/>
        </w:rPr>
        <w:t xml:space="preserve">"high 5s"</w:t>
      </w:r>
      <w:r>
        <w:t xml:space="preserve"> </w:t>
      </w:r>
      <w:r>
        <w:t xml:space="preserve">— deleveraging (its stated #1 financial priority) is</w:t>
      </w:r>
      <w:r>
        <w:t xml:space="preserve"> </w:t>
      </w:r>
      <w:r>
        <w:rPr>
          <w:i/>
          <w:iCs/>
        </w:rPr>
        <w:t xml:space="preserve">going backwards</w:t>
      </w:r>
      <w:r>
        <w:t xml:space="preserve"> </w:t>
      </w:r>
      <w:r>
        <w:t xml:space="preserve">in 2026.</w:t>
      </w:r>
    </w:p>
    <w:p>
      <w:pPr>
        <w:pStyle w:val="Compact"/>
        <w:numPr>
          <w:ilvl w:val="0"/>
          <w:numId w:val="1003"/>
        </w:numPr>
      </w:pPr>
      <w:r>
        <w:t xml:space="preserve">Silver linings:</w:t>
      </w:r>
      <w:r>
        <w:t xml:space="preserve"> </w:t>
      </w:r>
      <w:r>
        <w:rPr>
          <w:b/>
          <w:bCs/>
        </w:rPr>
        <w:t xml:space="preserve">no significant maturities until 2030</w:t>
      </w:r>
      <w:r>
        <w:t xml:space="preserve">, and a capex inflection — newbuild/growth capex drops by nearly</w:t>
      </w:r>
      <w:r>
        <w:t xml:space="preserve"> </w:t>
      </w:r>
      <w:r>
        <w:rPr>
          <w:b/>
          <w:bCs/>
        </w:rPr>
        <w:t xml:space="preserve">$1B/year from 2028</w:t>
      </w:r>
      <w:r>
        <w:t xml:space="preserve"> </w:t>
      </w:r>
      <w:r>
        <w:t xml:space="preserve">(only one ship in each of 2028/2029 vs. 2–3/year recently), which should materially improve free cash flow and enable deleveraging</w:t>
      </w:r>
      <w:r>
        <w:t xml:space="preserve"> </w:t>
      </w:r>
      <w:r>
        <w:rPr>
          <w:i/>
          <w:iCs/>
        </w:rPr>
        <w:t xml:space="preserve">later</w:t>
      </w:r>
      <w:r>
        <w:t xml:space="preserve">.</w:t>
      </w:r>
    </w:p>
    <w:p>
      <w:pPr>
        <w:pStyle w:val="Compact"/>
        <w:numPr>
          <w:ilvl w:val="0"/>
          <w:numId w:val="1003"/>
        </w:numPr>
      </w:pPr>
      <w:r>
        <w:rPr>
          <w:b/>
          <w:bCs/>
        </w:rPr>
        <w:t xml:space="preserve">Watch:</w:t>
      </w:r>
      <w:r>
        <w:t xml:space="preserve"> </w:t>
      </w:r>
      <w:r>
        <w:t xml:space="preserve">the updated year-end leverage figure. Given the war, there's downside risk to the "high 5s."</w:t>
      </w:r>
    </w:p>
    <w:p>
      <w:r>
        <w:pict>
          <v:rect style="width:0;height:1.5pt" o:hralign="center" o:hrstd="t" o:hr="t"/>
        </w:pict>
      </w:r>
    </w:p>
    <w:bookmarkEnd w:id="18"/>
    <w:bookmarkStart w:id="19" w:name="Xcb6d83f3ecbca2467d95e00c6fac341d08ff1d2"/>
    <w:p>
      <w:pPr>
        <w:pStyle w:val="Heading2"/>
      </w:pPr>
      <w:r>
        <w:t xml:space="preserve">6. Stock &amp; sentiment</w:t>
      </w:r>
    </w:p>
    <w:p>
      <w:pPr>
        <w:pStyle w:val="Compact"/>
        <w:numPr>
          <w:ilvl w:val="0"/>
          <w:numId w:val="1004"/>
        </w:numPr>
      </w:pPr>
      <w:r>
        <w:t xml:space="preserve">NCLH is</w:t>
      </w:r>
      <w:r>
        <w:t xml:space="preserve"> </w:t>
      </w:r>
      <w:r>
        <w:rPr>
          <w:b/>
          <w:bCs/>
        </w:rPr>
        <w:t xml:space="preserve">down ~8–9% YTD</w:t>
      </w:r>
      <w:r>
        <w:t xml:space="preserve"> </w:t>
      </w:r>
      <w:r>
        <w:t xml:space="preserve">(~</w:t>
      </w:r>
      <m:oMath>
        <m:r>
          <m:t>22.80</m:t>
        </m:r>
        <m:r>
          <m:rPr>
            <m:sty m:val="p"/>
          </m:rPr>
          <m:t>→</m:t>
        </m:r>
        <m:r>
          <m:t> </m:t>
        </m:r>
      </m:oMath>
      <w:r>
        <w:t xml:space="preserve">20.85), having cratered to a ~</w:t>
      </w:r>
      <m:oMath>
        <m:r>
          <m:t>14.80</m:t>
        </m:r>
        <m:r>
          <m:t>l</m:t>
        </m:r>
        <m:r>
          <m:t>o</m:t>
        </m:r>
        <m:r>
          <m:t>w</m:t>
        </m:r>
        <m:r>
          <m:t>r</m:t>
        </m:r>
        <m:r>
          <m:t>i</m:t>
        </m:r>
        <m:r>
          <m:t>g</m:t>
        </m:r>
        <m:r>
          <m:t>h</m:t>
        </m:r>
        <m:r>
          <m:t>t</m:t>
        </m:r>
        <m:r>
          <m:t>a</m:t>
        </m:r>
        <m:r>
          <m:t>f</m:t>
        </m:r>
        <m:r>
          <m:t>t</m:t>
        </m:r>
        <m:r>
          <m:t>e</m:t>
        </m:r>
        <m:r>
          <m:t>r</m:t>
        </m:r>
        <m:r>
          <m:t>t</m:t>
        </m:r>
        <m:r>
          <m:t>h</m:t>
        </m:r>
        <m:r>
          <m:t>e</m:t>
        </m:r>
        <m:r>
          <m:t>M</m:t>
        </m:r>
        <m:r>
          <m:t>a</m:t>
        </m:r>
        <m:r>
          <m:t>y</m:t>
        </m:r>
        <m:r>
          <m:t>g</m:t>
        </m:r>
        <m:r>
          <m:t>u</m:t>
        </m:r>
        <m:r>
          <m:t>i</m:t>
        </m:r>
        <m:r>
          <m:t>d</m:t>
        </m:r>
        <m:r>
          <m:t>e</m:t>
        </m:r>
        <m:r>
          <m:rPr>
            <m:sty m:val="p"/>
          </m:rPr>
          <m:t>−</m:t>
        </m:r>
        <m:r>
          <m:t>d</m:t>
        </m:r>
        <m:r>
          <m:t>o</m:t>
        </m:r>
        <m:r>
          <m:t>w</m:t>
        </m:r>
        <m:r>
          <m:t>n</m:t>
        </m:r>
        <m:r>
          <m:t>b</m:t>
        </m:r>
        <m:r>
          <m:t>e</m:t>
        </m:r>
        <m:r>
          <m:t>f</m:t>
        </m:r>
        <m:r>
          <m:t>o</m:t>
        </m:r>
        <m:r>
          <m:t>r</m:t>
        </m:r>
        <m:r>
          <m:t>e</m:t>
        </m:r>
        <m:r>
          <m:t>r</m:t>
        </m:r>
        <m:r>
          <m:t>a</m:t>
        </m:r>
        <m:r>
          <m:t>l</m:t>
        </m:r>
        <m:r>
          <m:t>l</m:t>
        </m:r>
        <m:r>
          <m:t>y</m:t>
        </m:r>
        <m:r>
          <m:t>i</m:t>
        </m:r>
        <m:r>
          <m:t>n</m:t>
        </m:r>
        <m:r>
          <m:t>g</m:t>
        </m:r>
        <m:r>
          <m:rPr>
            <m:sty m:val="p"/>
          </m:rPr>
          <m:t>*</m:t>
        </m:r>
        <m:r>
          <m:rPr>
            <m:sty m:val="p"/>
          </m:rPr>
          <m:t>*</m:t>
        </m:r>
        <m:r>
          <m:t> </m:t>
        </m:r>
        <m:r>
          <m:t>40</m:t>
        </m:r>
      </m:oMath>
      <w:r>
        <w:t xml:space="preserve">18.71 on 7/23).</w:t>
      </w:r>
    </w:p>
    <w:p>
      <w:pPr>
        <w:pStyle w:val="Compact"/>
        <w:numPr>
          <w:ilvl w:val="0"/>
          <w:numId w:val="1004"/>
        </w:numPr>
      </w:pPr>
      <w:r>
        <w:t xml:space="preserve">Relative to peers YTD it has</w:t>
      </w:r>
      <w:r>
        <w:t xml:space="preserve"> </w:t>
      </w:r>
      <w:r>
        <w:rPr>
          <w:b/>
          <w:bCs/>
        </w:rPr>
        <w:t xml:space="preserve">lagged RCL</w:t>
      </w:r>
      <w:r>
        <w:t xml:space="preserve"> </w:t>
      </w:r>
      <w:r>
        <w:t xml:space="preserve">(up ~14%) while tracking roughly with a weak CCL — consistent with the "recent fundamental underperformance vs. Carnival and Royal Caribbean" bears cite.</w:t>
      </w:r>
    </w:p>
    <w:p>
      <w:pPr>
        <w:pStyle w:val="Compact"/>
        <w:numPr>
          <w:ilvl w:val="0"/>
          <w:numId w:val="1004"/>
        </w:numPr>
      </w:pPr>
      <w:r>
        <w:rPr>
          <w:b/>
          <w:bCs/>
        </w:rPr>
        <w:t xml:space="preserve">Sentiment is genuinely split:</w:t>
      </w:r>
      <w:r>
        <w:t xml:space="preserve"> </w:t>
      </w:r>
      <w:r>
        <w:t xml:space="preserve">bears point to underperformance, the heavy debt load, elevated fuel, and geopolitical risk; bulls point to the turnaround initiatives and notably</w:t>
      </w:r>
      <w:r>
        <w:t xml:space="preserve"> </w:t>
      </w:r>
      <w:r>
        <w:rPr>
          <w:b/>
          <w:bCs/>
        </w:rPr>
        <w:t xml:space="preserve">aggressive insider buying</w:t>
      </w:r>
      <w:r>
        <w:t xml:space="preserve">.</w:t>
      </w:r>
    </w:p>
    <w:p>
      <w:pPr>
        <w:pStyle w:val="Compact"/>
        <w:numPr>
          <w:ilvl w:val="0"/>
          <w:numId w:val="1004"/>
        </w:numPr>
      </w:pPr>
      <w:r>
        <w:rPr>
          <w:b/>
          <w:bCs/>
        </w:rPr>
        <w:t xml:space="preserve">Setup risk:</w:t>
      </w:r>
      <w:r>
        <w:t xml:space="preserve"> </w:t>
      </w:r>
      <w:r>
        <w:t xml:space="preserve">the pre-earnings rally has</w:t>
      </w:r>
      <w:r>
        <w:t xml:space="preserve"> </w:t>
      </w:r>
      <w:r>
        <w:rPr>
          <w:i/>
          <w:iCs/>
        </w:rPr>
        <w:t xml:space="preserve">raised the bar</w:t>
      </w:r>
      <w:r>
        <w:t xml:space="preserve">. A stock up double-digits into a report from a company with escalating macro headwinds and a history of guiding down is vulnerable to disappointment if the Q3 guide or fuel outlook is soft.</w:t>
      </w:r>
    </w:p>
    <w:p>
      <w:r>
        <w:pict>
          <v:rect style="width:0;height:1.5pt" o:hralign="center" o:hrstd="t" o:hr="t"/>
        </w:pict>
      </w:r>
    </w:p>
    <w:bookmarkEnd w:id="19"/>
    <w:bookmarkStart w:id="21" w:name="X5fd985bba2121c188362e33118b650b112fbe63"/>
    <w:p>
      <w:pPr>
        <w:pStyle w:val="Heading2"/>
      </w:pPr>
      <w:r>
        <w:t xml:space="preserve">7. What I'll be watching — the checklist</w:t>
      </w:r>
    </w:p>
    <w:p>
      <w:pPr>
        <w:pStyle w:val="Compact"/>
        <w:numPr>
          <w:ilvl w:val="0"/>
          <w:numId w:val="1005"/>
        </w:numPr>
      </w:pPr>
      <w:r>
        <w:rPr>
          <w:b/>
          <w:bCs/>
        </w:rPr>
        <w:t xml:space="preserve">Q3 net-yield guide</w:t>
      </w:r>
      <w:r>
        <w:t xml:space="preserve"> </w:t>
      </w:r>
      <w:r>
        <w:t xml:space="preserve">— in-line with "high-single-digit negative," or worse?</w:t>
      </w:r>
    </w:p>
    <w:p>
      <w:pPr>
        <w:pStyle w:val="Compact"/>
        <w:numPr>
          <w:ilvl w:val="0"/>
          <w:numId w:val="1005"/>
        </w:numPr>
      </w:pPr>
      <w:r>
        <w:rPr>
          <w:b/>
          <w:bCs/>
        </w:rPr>
        <w:t xml:space="preserve">Any FY26 revision</w:t>
      </w:r>
      <w:r>
        <w:t xml:space="preserve"> </w:t>
      </w:r>
      <w:r>
        <w:t xml:space="preserve">— did the worsened war force a second cut (yields and/or fuel)?</w:t>
      </w:r>
    </w:p>
    <w:p>
      <w:pPr>
        <w:pStyle w:val="Compact"/>
        <w:numPr>
          <w:ilvl w:val="0"/>
          <w:numId w:val="1005"/>
        </w:numPr>
      </w:pPr>
      <w:r>
        <w:rPr>
          <w:b/>
          <w:bCs/>
        </w:rPr>
        <w:t xml:space="preserve">Fuel assumption</w:t>
      </w:r>
      <w:r>
        <w:t xml:space="preserve"> </w:t>
      </w:r>
      <w:r>
        <w:t xml:space="preserve">— how much of the oil spike is flowing through given ~49% unhedged.</w:t>
      </w:r>
    </w:p>
    <w:p>
      <w:pPr>
        <w:pStyle w:val="Compact"/>
        <w:numPr>
          <w:ilvl w:val="0"/>
          <w:numId w:val="1005"/>
        </w:numPr>
      </w:pPr>
      <w:r>
        <w:rPr>
          <w:b/>
          <w:bCs/>
        </w:rPr>
        <w:t xml:space="preserve">Booking commentary</w:t>
      </w:r>
      <w:r>
        <w:t xml:space="preserve"> </w:t>
      </w:r>
      <w:r>
        <w:t xml:space="preserve">— European cancellation trend, close-in US demand, 2027 curve.</w:t>
      </w:r>
    </w:p>
    <w:p>
      <w:pPr>
        <w:pStyle w:val="Compact"/>
        <w:numPr>
          <w:ilvl w:val="0"/>
          <w:numId w:val="1005"/>
        </w:numPr>
      </w:pPr>
      <w:r>
        <w:rPr>
          <w:b/>
          <w:bCs/>
        </w:rPr>
        <w:t xml:space="preserve">Great Stirrup Cay</w:t>
      </w:r>
      <w:r>
        <w:t xml:space="preserve"> </w:t>
      </w:r>
      <w:r>
        <w:t xml:space="preserve">— waterpark opening timing and early monetization/marketing traction.</w:t>
      </w:r>
    </w:p>
    <w:p>
      <w:pPr>
        <w:pStyle w:val="Compact"/>
        <w:numPr>
          <w:ilvl w:val="0"/>
          <w:numId w:val="1005"/>
        </w:numPr>
      </w:pPr>
      <w:r>
        <w:rPr>
          <w:b/>
          <w:bCs/>
        </w:rPr>
        <w:t xml:space="preserve">Cost actions</w:t>
      </w:r>
      <w:r>
        <w:t xml:space="preserve"> </w:t>
      </w:r>
      <w:r>
        <w:t xml:space="preserve">— incremental SG&amp;A/shipboard savings beyond the $125M.</w:t>
      </w:r>
    </w:p>
    <w:p>
      <w:pPr>
        <w:pStyle w:val="Compact"/>
        <w:numPr>
          <w:ilvl w:val="0"/>
          <w:numId w:val="1005"/>
        </w:numPr>
      </w:pPr>
      <w:r>
        <w:rPr>
          <w:b/>
          <w:bCs/>
        </w:rPr>
        <w:t xml:space="preserve">Year-end leverage</w:t>
      </w:r>
      <w:r>
        <w:t xml:space="preserve"> </w:t>
      </w:r>
      <w:r>
        <w:t xml:space="preserve">— confirmation of "high 5s" or worse.</w:t>
      </w:r>
    </w:p>
    <w:p>
      <w:pPr>
        <w:pStyle w:val="Compact"/>
        <w:numPr>
          <w:ilvl w:val="0"/>
          <w:numId w:val="1005"/>
        </w:numPr>
      </w:pPr>
      <w:r>
        <w:rPr>
          <w:b/>
          <w:bCs/>
        </w:rPr>
        <w:t xml:space="preserve">Onboard spend</w:t>
      </w:r>
      <w:r>
        <w:t xml:space="preserve"> </w:t>
      </w:r>
      <w:r>
        <w:t xml:space="preserve">— management said it's healthy; a key tell on the underlying consumer.</w:t>
      </w:r>
    </w:p>
    <w:p>
      <w:pPr>
        <w:pStyle w:val="Compact"/>
        <w:numPr>
          <w:ilvl w:val="0"/>
          <w:numId w:val="1005"/>
        </w:numPr>
      </w:pPr>
      <w:r>
        <w:rPr>
          <w:b/>
          <w:bCs/>
        </w:rPr>
        <w:t xml:space="preserve">Luxury vs. NCL divergence</w:t>
      </w:r>
      <w:r>
        <w:t xml:space="preserve"> </w:t>
      </w:r>
      <w:r>
        <w:t xml:space="preserve">— is Oceania/Regent still "fine," isolating the problem to NCL?</w:t>
      </w:r>
    </w:p>
    <w:p>
      <w:r>
        <w:pict>
          <v:rect style="width:0;height:1.5pt" o:hralign="center" o:hrstd="t" o:hr="t"/>
        </w:pict>
      </w:r>
    </w:p>
    <w:bookmarkStart w:id="20" w:name="bottom-line"/>
    <w:p>
      <w:pPr>
        <w:pStyle w:val="Heading3"/>
      </w:pPr>
      <w:r>
        <w:t xml:space="preserve">Bottom line</w:t>
      </w:r>
    </w:p>
    <w:p>
      <w:pPr>
        <w:pStyle w:val="FirstParagraph"/>
      </w:pPr>
      <w:r>
        <w:t xml:space="preserve">Expect the Q2</w:t>
      </w:r>
      <w:r>
        <w:t xml:space="preserve"> </w:t>
      </w:r>
      <w:r>
        <w:rPr>
          <w:i/>
          <w:iCs/>
        </w:rPr>
        <w:t xml:space="preserve">quarter</w:t>
      </w:r>
      <w:r>
        <w:t xml:space="preserve"> </w:t>
      </w:r>
      <w:r>
        <w:t xml:space="preserve">to land roughly on the guided ~</w:t>
      </w:r>
      <m:oMath>
        <m:r>
          <m:t>0.38</m:t>
        </m:r>
        <m:r>
          <m:t>E</m:t>
        </m:r>
        <m:r>
          <m:t>P</m:t>
        </m:r>
        <m:r>
          <m:t>S</m:t>
        </m:r>
        <m:r>
          <m:rPr>
            <m:sty m:val="p"/>
          </m:rPr>
          <m:t>/</m:t>
        </m:r>
        <m:r>
          <m:t> </m:t>
        </m:r>
      </m:oMath>
      <w:r>
        <w:t xml:space="preserve">632M EBITDA, possibly with another small cost-driven beat.</w:t>
      </w:r>
      <w:r>
        <w:t xml:space="preserve"> </w:t>
      </w:r>
      <w:r>
        <w:rPr>
          <w:b/>
          <w:bCs/>
        </w:rPr>
        <w:t xml:space="preserve">The stock's reaction will hinge on the forward look</w:t>
      </w:r>
      <w:r>
        <w:t xml:space="preserve"> </w:t>
      </w:r>
      <w:r>
        <w:t xml:space="preserve">— specifically the Q3 guide and whether the intensifying US-Iran conflict (spiking oil, Hormuz shutdown) forces NCLH to cut for a second consecutive quarter. This remains an early-innings, "cost-first, revenue-later (2027)" turnaround with a stretched balance sheet, and the pre-earnings rally leaves limited room for error. Bull/bear reduces to a single question:</w:t>
      </w:r>
      <w:r>
        <w:t xml:space="preserve"> </w:t>
      </w:r>
      <w:r>
        <w:rPr>
          <w:b/>
          <w:bCs/>
        </w:rPr>
        <w:t xml:space="preserve">do the "green shoots" and cost momentum outrun the deteriorating macro and Europe exposure — or not yet?</w:t>
      </w:r>
    </w:p>
    <w:p>
      <w:pPr>
        <w:pStyle w:val="BodyText"/>
      </w:pPr>
      <w:r>
        <w:rPr>
          <w:i/>
          <w:iCs/>
        </w:rPr>
        <w:t xml:space="preserve">Preview based on NCLH's Q1'26 release and call (May 4, 2026), FY26 guidance, market data through 7/29/2026, and current macro reporting. Not investment advice.</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2026-07-29T18:04:52Z</dcterms:created>
  <dcterms:modified xsi:type="dcterms:W3CDTF">2026-07-29T18:04:52Z</dcterms:modified>
</cp:coreProperties>
</file>

<file path=docProps/custom.xml><?xml version="1.0" encoding="utf-8"?>
<Properties xmlns="http://schemas.openxmlformats.org/officeDocument/2006/custom-properties" xmlns:vt="http://schemas.openxmlformats.org/officeDocument/2006/docPropsVTypes"/>
</file>