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nclh-earnings-predictions--2026-07-30"/>
    <w:p>
      <w:pPr>
        <w:pStyle w:val="Heading1"/>
      </w:pPr>
      <w:r>
        <w:t xml:space="preserve">NCLH Earnings Predictions — 2026-07-30</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NCLH</w:t>
            </w:r>
          </w:p>
        </w:tc>
        <w:tc>
          <w:tcPr/>
          <w:p>
            <w:pPr>
              <w:pStyle w:val="Compact"/>
            </w:pPr>
            <w:r>
              <w:t xml:space="preserve">Report</w:t>
            </w:r>
          </w:p>
        </w:tc>
        <w:tc>
          <w:tcPr/>
          <w:p>
            <w:pPr>
              <w:pStyle w:val="Compact"/>
            </w:pPr>
            <w:r>
              <w:t xml:space="preserve">Adjusted EPS (Q2 2026)</w:t>
            </w:r>
          </w:p>
        </w:tc>
        <w:tc>
          <w:tcPr/>
          <w:p>
            <w:pPr>
              <w:pStyle w:val="Compact"/>
            </w:pPr>
            <w:r>
              <w:t xml:space="preserve">BEAT</w:t>
            </w:r>
          </w:p>
        </w:tc>
        <w:tc>
          <w:tcPr/>
          <w:p>
            <w:pPr>
              <w:pStyle w:val="Compact"/>
            </w:pPr>
            <w:r>
              <w:t xml:space="preserve">pred ~$0.40 vs. cons $0.39</w:t>
            </w:r>
          </w:p>
        </w:tc>
        <w:tc>
          <w:tcPr/>
          <w:p>
            <w:pPr>
              <w:pStyle w:val="Compact"/>
            </w:pPr>
            <w:r>
              <w:t xml:space="preserve">MEDIUM</w:t>
            </w:r>
          </w:p>
        </w:tc>
      </w:tr>
      <w:tr>
        <w:tc>
          <w:tcPr/>
          <w:p>
            <w:pPr>
              <w:pStyle w:val="Compact"/>
            </w:pPr>
            <w:r>
              <w:t xml:space="preserve">NCLH</w:t>
            </w:r>
          </w:p>
        </w:tc>
        <w:tc>
          <w:tcPr/>
          <w:p>
            <w:pPr>
              <w:pStyle w:val="Compact"/>
            </w:pPr>
            <w:r>
              <w:t xml:space="preserve">Report</w:t>
            </w:r>
          </w:p>
        </w:tc>
        <w:tc>
          <w:tcPr/>
          <w:p>
            <w:pPr>
              <w:pStyle w:val="Compact"/>
            </w:pPr>
            <w:r>
              <w:t xml:space="preserve">Net Yield, constant currency (Q2 2026)</w:t>
            </w:r>
          </w:p>
        </w:tc>
        <w:tc>
          <w:tcPr/>
          <w:p>
            <w:pPr>
              <w:pStyle w:val="Compact"/>
            </w:pPr>
            <w:r>
              <w:t xml:space="preserve">MISS</w:t>
            </w:r>
          </w:p>
        </w:tc>
        <w:tc>
          <w:tcPr/>
          <w:p>
            <w:pPr>
              <w:pStyle w:val="Compact"/>
            </w:pPr>
            <w:r>
              <w:t xml:space="preserve">pred ~-4.0% vs. cons -3.6%</w:t>
            </w:r>
          </w:p>
        </w:tc>
        <w:tc>
          <w:tcPr/>
          <w:p>
            <w:pPr>
              <w:pStyle w:val="Compact"/>
            </w:pPr>
            <w:r>
              <w:t xml:space="preserve">MEDIUM</w:t>
            </w:r>
          </w:p>
        </w:tc>
      </w:tr>
      <w:tr>
        <w:tc>
          <w:tcPr/>
          <w:p>
            <w:pPr>
              <w:pStyle w:val="Compact"/>
            </w:pPr>
            <w:r>
              <w:t xml:space="preserve">NCLH</w:t>
            </w:r>
          </w:p>
        </w:tc>
        <w:tc>
          <w:tcPr/>
          <w:p>
            <w:pPr>
              <w:pStyle w:val="Compact"/>
            </w:pPr>
            <w:r>
              <w:t xml:space="preserve">Report</w:t>
            </w:r>
          </w:p>
        </w:tc>
        <w:tc>
          <w:tcPr/>
          <w:p>
            <w:pPr>
              <w:pStyle w:val="Compact"/>
            </w:pPr>
            <w:r>
              <w:t xml:space="preserve">Adjusted EBITDA (Q2 2026)</w:t>
            </w:r>
          </w:p>
        </w:tc>
        <w:tc>
          <w:tcPr/>
          <w:p>
            <w:pPr>
              <w:pStyle w:val="Compact"/>
            </w:pPr>
            <w:r>
              <w:t xml:space="preserve">BEAT</w:t>
            </w:r>
          </w:p>
        </w:tc>
        <w:tc>
          <w:tcPr/>
          <w:p>
            <w:pPr>
              <w:pStyle w:val="Compact"/>
            </w:pPr>
            <w:r>
              <w:t xml:space="preserve">pred ~$640M vs. cons $630M</w:t>
            </w:r>
          </w:p>
        </w:tc>
        <w:tc>
          <w:tcPr/>
          <w:p>
            <w:pPr>
              <w:pStyle w:val="Compact"/>
            </w:pPr>
            <w:r>
              <w:t xml:space="preserve">MEDIUM</w:t>
            </w:r>
          </w:p>
        </w:tc>
      </w:tr>
      <w:tr>
        <w:tc>
          <w:tcPr/>
          <w:p>
            <w:pPr>
              <w:pStyle w:val="Compact"/>
            </w:pPr>
            <w:r>
              <w:t xml:space="preserve">NCLH</w:t>
            </w:r>
          </w:p>
        </w:tc>
        <w:tc>
          <w:tcPr/>
          <w:p>
            <w:pPr>
              <w:pStyle w:val="Compact"/>
            </w:pPr>
            <w:r>
              <w:t xml:space="preserve">Guide</w:t>
            </w:r>
          </w:p>
        </w:tc>
        <w:tc>
          <w:tcPr/>
          <w:p>
            <w:pPr>
              <w:pStyle w:val="Compact"/>
            </w:pPr>
            <w:r>
              <w:t xml:space="preserve">Q3 2026 Net Yield (constant currency)</w:t>
            </w:r>
          </w:p>
        </w:tc>
        <w:tc>
          <w:tcPr/>
          <w:p>
            <w:pPr>
              <w:pStyle w:val="Compact"/>
            </w:pPr>
            <w:r>
              <w:t xml:space="preserve">LOWER</w:t>
            </w:r>
          </w:p>
        </w:tc>
        <w:tc>
          <w:tcPr/>
          <w:p>
            <w:pPr>
              <w:pStyle w:val="Compact"/>
            </w:pPr>
            <w:r>
              <w:t xml:space="preserve">guide ~-8.0% vs. cons -6.5% (Q3 2026)</w:t>
            </w:r>
          </w:p>
        </w:tc>
        <w:tc>
          <w:tcPr/>
          <w:p>
            <w:pPr>
              <w:pStyle w:val="Compact"/>
            </w:pPr>
            <w:r>
              <w:t xml:space="preserve">MEDIUM</w:t>
            </w:r>
          </w:p>
        </w:tc>
      </w:tr>
      <w:tr>
        <w:tc>
          <w:tcPr/>
          <w:p>
            <w:pPr>
              <w:pStyle w:val="Compact"/>
            </w:pPr>
            <w:r>
              <w:t xml:space="preserve">NCLH</w:t>
            </w:r>
          </w:p>
        </w:tc>
        <w:tc>
          <w:tcPr/>
          <w:p>
            <w:pPr>
              <w:pStyle w:val="Compact"/>
            </w:pPr>
            <w:r>
              <w:t xml:space="preserve">Guide</w:t>
            </w:r>
          </w:p>
        </w:tc>
        <w:tc>
          <w:tcPr/>
          <w:p>
            <w:pPr>
              <w:pStyle w:val="Compact"/>
            </w:pPr>
            <w:r>
              <w:t xml:space="preserve">FY2026 Adjusted EBITDA</w:t>
            </w:r>
          </w:p>
        </w:tc>
        <w:tc>
          <w:tcPr/>
          <w:p>
            <w:pPr>
              <w:pStyle w:val="Compact"/>
            </w:pPr>
            <w:r>
              <w:t xml:space="preserve">LOWER</w:t>
            </w:r>
          </w:p>
        </w:tc>
        <w:tc>
          <w:tcPr/>
          <w:p>
            <w:pPr>
              <w:pStyle w:val="Compact"/>
            </w:pPr>
            <w:r>
              <w:t xml:space="preserve">guide ~$2.50B vs. cons $2.56B (FY2026)</w:t>
            </w:r>
          </w:p>
        </w:tc>
        <w:tc>
          <w:tcPr/>
          <w:p>
            <w:pPr>
              <w:pStyle w:val="Compact"/>
            </w:pPr>
            <w:r>
              <w:t xml:space="preserve">MEDIUM</w:t>
            </w:r>
          </w:p>
        </w:tc>
      </w:tr>
      <w:tr>
        <w:tc>
          <w:tcPr/>
          <w:p>
            <w:pPr>
              <w:pStyle w:val="Compact"/>
            </w:pPr>
            <w:r>
              <w:t xml:space="preserve">NCLH</w:t>
            </w:r>
          </w:p>
        </w:tc>
        <w:tc>
          <w:tcPr/>
          <w:p>
            <w:pPr>
              <w:pStyle w:val="Compact"/>
            </w:pPr>
            <w:r>
              <w:t xml:space="preserve">Guide</w:t>
            </w:r>
          </w:p>
        </w:tc>
        <w:tc>
          <w:tcPr/>
          <w:p>
            <w:pPr>
              <w:pStyle w:val="Compact"/>
            </w:pPr>
            <w:r>
              <w:t xml:space="preserve">FY2026 Adjusted EPS</w:t>
            </w:r>
          </w:p>
        </w:tc>
        <w:tc>
          <w:tcPr/>
          <w:p>
            <w:pPr>
              <w:pStyle w:val="Compact"/>
            </w:pPr>
            <w:r>
              <w:t xml:space="preserve">LOWER</w:t>
            </w:r>
          </w:p>
        </w:tc>
        <w:tc>
          <w:tcPr/>
          <w:p>
            <w:pPr>
              <w:pStyle w:val="Compact"/>
            </w:pPr>
            <w:r>
              <w:t xml:space="preserve">guide ~$1.55 vs. cons $1.62 (FY2026)</w:t>
            </w:r>
          </w:p>
        </w:tc>
        <w:tc>
          <w:tcPr/>
          <w:p>
            <w:pPr>
              <w:pStyle w:val="Compact"/>
            </w:pPr>
            <w:r>
              <w:t xml:space="preserve">LOW</w:t>
            </w:r>
          </w:p>
        </w:tc>
      </w:tr>
      <w:tr>
        <w:tc>
          <w:tcPr/>
          <w:p>
            <w:pPr>
              <w:pStyle w:val="Compact"/>
            </w:pPr>
            <w:r>
              <w:t xml:space="preserve">NCLH</w:t>
            </w:r>
          </w:p>
        </w:tc>
        <w:tc>
          <w:tcPr/>
          <w:p>
            <w:pPr>
              <w:pStyle w:val="Compact"/>
            </w:pPr>
            <w:r>
              <w:t xml:space="preserve">Guide</w:t>
            </w:r>
          </w:p>
        </w:tc>
        <w:tc>
          <w:tcPr/>
          <w:p>
            <w:pPr>
              <w:pStyle w:val="Compact"/>
            </w:pPr>
            <w:r>
              <w:t xml:space="preserve">Year-end Net Leverage</w:t>
            </w:r>
          </w:p>
        </w:tc>
        <w:tc>
          <w:tcPr/>
          <w:p>
            <w:pPr>
              <w:pStyle w:val="Compact"/>
            </w:pPr>
            <w:r>
              <w:t xml:space="preserve">UNCHANGED</w:t>
            </w:r>
          </w:p>
        </w:tc>
        <w:tc>
          <w:tcPr/>
          <w:p>
            <w:pPr>
              <w:pStyle w:val="Compact"/>
            </w:pPr>
            <w:r>
              <w:t xml:space="preserve">guide ~high-5x vs. cons ~5.7x (FY2026 year-end)</w:t>
            </w:r>
          </w:p>
        </w:tc>
        <w:tc>
          <w:tcPr/>
          <w:p>
            <w:pPr>
              <w:pStyle w:val="Compact"/>
            </w:pPr>
            <w:r>
              <w:t xml:space="preserve">LOW</w:t>
            </w:r>
          </w:p>
        </w:tc>
      </w:tr>
      <w:tr>
        <w:tc>
          <w:tcPr/>
          <w:p>
            <w:pPr>
              <w:pStyle w:val="Compact"/>
            </w:pPr>
            <w:r>
              <w:t xml:space="preserve">NCLH</w:t>
            </w:r>
          </w:p>
        </w:tc>
        <w:tc>
          <w:tcPr/>
          <w:p>
            <w:pPr>
              <w:pStyle w:val="Compact"/>
            </w:pPr>
            <w:r>
              <w:t xml:space="preserve">Return</w:t>
            </w:r>
          </w:p>
        </w:tc>
        <w:tc>
          <w:tcPr/>
          <w:p>
            <w:pPr>
              <w:pStyle w:val="Compact"/>
            </w:pPr>
            <w:r>
              <w:t xml:space="preserve">Day-1 residual (stock − beta × S&amp;P 500)</w:t>
            </w:r>
          </w:p>
        </w:tc>
        <w:tc>
          <w:tcPr/>
          <w:p>
            <w:pPr>
              <w:pStyle w:val="Compact"/>
            </w:pPr>
            <w:r>
              <w:t xml:space="preserve">-4.5%</w:t>
            </w:r>
          </w:p>
        </w:tc>
        <w:tc>
          <w:tcPr/>
          <w:p>
            <w:pPr>
              <w:pStyle w:val="Compact"/>
            </w:pPr>
            <w:r>
              <w:t xml:space="preserve">—</w:t>
            </w:r>
          </w:p>
        </w:tc>
        <w:tc>
          <w:tcPr/>
          <w:p>
            <w:pPr>
              <w:pStyle w:val="Compact"/>
            </w:pPr>
            <w:r>
              <w:t xml:space="preserve">MEDIUM</w:t>
            </w:r>
          </w:p>
        </w:tc>
      </w:tr>
      <w:tr>
        <w:tc>
          <w:tcPr/>
          <w:p>
            <w:pPr>
              <w:pStyle w:val="Compact"/>
            </w:pPr>
            <w:r>
              <w:t xml:space="preserve">NCLH</w:t>
            </w:r>
          </w:p>
        </w:tc>
        <w:tc>
          <w:tcPr/>
          <w:p>
            <w:pPr>
              <w:pStyle w:val="Compact"/>
            </w:pPr>
            <w:r>
              <w:t xml:space="preserve">Return</w:t>
            </w:r>
          </w:p>
        </w:tc>
        <w:tc>
          <w:tcPr/>
          <w:p>
            <w:pPr>
              <w:pStyle w:val="Compact"/>
            </w:pPr>
            <w:r>
              <w:t xml:space="preserve">5-day cumulative residual</w:t>
            </w:r>
          </w:p>
        </w:tc>
        <w:tc>
          <w:tcPr/>
          <w:p>
            <w:pPr>
              <w:pStyle w:val="Compact"/>
            </w:pPr>
            <w:r>
              <w:t xml:space="preserve">-7.5% (FADE)</w:t>
            </w:r>
          </w:p>
        </w:tc>
        <w:tc>
          <w:tcPr/>
          <w:p>
            <w:pPr>
              <w:pStyle w:val="Compact"/>
            </w:pPr>
            <w:r>
              <w:t xml:space="preserve">Headline EPS/EBITDA likely clears the already-lowered Q2 bar (supporting a muted or even initially positive open), but the stock rallied hard into the print (from ~</w:t>
            </w:r>
            <m:oMath>
              <m:r>
                <m:t>14.79</m:t>
              </m:r>
              <m:r>
                <m:t>t</m:t>
              </m:r>
              <m:r>
                <m:t>o</m:t>
              </m:r>
              <m:r>
                <m:t> </m:t>
              </m:r>
            </m:oMath>
            <w:r>
              <w:t xml:space="preserve">20.85) pricing in stabilization; any confirmation that Q3 yields are tracking toward the high-single-digit-decline trough (as flagged last quarter) and that FY26 EBITDA/EPS guidance is being nudged toward the low end (or trimmed further) given persistent European/Middle East softness will trigger sell-side estimate cuts for FY26/FY27 out-periods even after a Q2 beat, mirroring the CCL pattern (EPS beat, stock fell 10%+ on weak Q3 guide) more than the RCL pattern (raised guide, stock rose). With marketing/revenue-management fixes explicitly framed as multi-quarter and green shoots not expected until 2027, analysts have little basis to raise numbers, so the initial negative reaction likely extends over the week as models are revised down and price targets stay capped in the low-to-mid $20s.</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2026-07-29T18:03:07Z</dcterms:created>
  <dcterms:modified xsi:type="dcterms:W3CDTF">2026-07-29T18:03:07Z</dcterms:modified>
</cp:coreProperties>
</file>

<file path=docProps/custom.xml><?xml version="1.0" encoding="utf-8"?>
<Properties xmlns="http://schemas.openxmlformats.org/officeDocument/2006/custom-properties" xmlns:vt="http://schemas.openxmlformats.org/officeDocument/2006/docPropsVTypes"/>
</file>