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ca3c74d65ba1c668fc17861014cee21cccf4b89"/>
    <w:p>
      <w:pPr>
        <w:pStyle w:val="Heading1"/>
      </w:pPr>
      <w:r>
        <w:t xml:space="preserve">Norwegian Cruise Line Holdings (NCLH) — Q2 2026 Earnings Preview</w:t>
      </w:r>
    </w:p>
    <w:p>
      <w:pPr>
        <w:pStyle w:val="FirstParagraph"/>
      </w:pPr>
      <w:r>
        <w:rPr>
          <w:b/>
          <w:bCs/>
        </w:rPr>
        <w:t xml:space="preserve">Report Date:</w:t>
      </w:r>
      <w:r>
        <w:t xml:space="preserve"> </w:t>
      </w:r>
      <w:r>
        <w:t xml:space="preserve">Thursday, July 30, 2026, before market open</w:t>
      </w:r>
      <w:r>
        <w:t xml:space="preserve"> </w:t>
      </w:r>
      <w:r>
        <w:rPr>
          <w:b/>
          <w:bCs/>
        </w:rPr>
        <w:t xml:space="preserve">Fiscal Period:</w:t>
      </w:r>
      <w:r>
        <w:t xml:space="preserve"> </w:t>
      </w:r>
      <w:r>
        <w:t xml:space="preserve">2026Q2 |</w:t>
      </w:r>
      <w:r>
        <w:t xml:space="preserve"> </w:t>
      </w:r>
      <w:r>
        <w:rPr>
          <w:b/>
          <w:bCs/>
        </w:rPr>
        <w:t xml:space="preserve">Current Price:</w:t>
      </w:r>
      <w:r>
        <w:t xml:space="preserve"> </w:t>
      </w:r>
      <w:r>
        <w:t xml:space="preserve">~$20.85 (as of 7/29 close)</w:t>
      </w:r>
    </w:p>
    <w:p>
      <w:r>
        <w:pict>
          <v:rect style="width:0;height:1.5pt" o:hralign="center" o:hrstd="t" o:hr="t"/>
        </w:pict>
      </w:r>
    </w:p>
    <w:bookmarkStart w:id="9" w:name="X15c927a229cb38aee2452f693fcc23efc4f963b"/>
    <w:p>
      <w:pPr>
        <w:pStyle w:val="Heading2"/>
      </w:pPr>
      <w:r>
        <w:t xml:space="preserve">1. Setup: A Turnaround Story Under Intense Scrutiny</w:t>
      </w:r>
    </w:p>
    <w:p>
      <w:pPr>
        <w:pStyle w:val="FirstParagraph"/>
      </w:pPr>
      <w:r>
        <w:t xml:space="preserve">This is arguably the most important print of the year for NCLH. The stock has been extremely volatile in 2026 — it started the year near $23, cratered to a 52-week low around</w:t>
      </w:r>
      <w:r>
        <w:t xml:space="preserve"> </w:t>
      </w:r>
      <m:oMath>
        <m:r>
          <m:t>14.79</m:t>
        </m:r>
        <m:r>
          <m:t>i</m:t>
        </m:r>
        <m:r>
          <m:t>n</m:t>
        </m:r>
        <m:r>
          <m:t>m</m:t>
        </m:r>
        <m:r>
          <m:t>i</m:t>
        </m:r>
        <m:r>
          <m:t>d</m:t>
        </m:r>
        <m:r>
          <m:rPr>
            <m:sty m:val="p"/>
          </m:rPr>
          <m:t>−</m:t>
        </m:r>
        <m:r>
          <m:t>M</m:t>
        </m:r>
        <m:r>
          <m:t>a</m:t>
        </m:r>
        <m:r>
          <m:t>y</m:t>
        </m:r>
        <m:r>
          <m:t>i</m:t>
        </m:r>
        <m:r>
          <m:t>n</m:t>
        </m:r>
        <m:r>
          <m:t>t</m:t>
        </m:r>
        <m:r>
          <m:t>h</m:t>
        </m:r>
        <m:r>
          <m:t>e</m:t>
        </m:r>
        <m:r>
          <m:t>w</m:t>
        </m:r>
        <m:r>
          <m:t>a</m:t>
        </m:r>
        <m:r>
          <m:t>k</m:t>
        </m:r>
        <m:r>
          <m:t>e</m:t>
        </m:r>
        <m:r>
          <m:t>o</m:t>
        </m:r>
        <m:r>
          <m:t>f</m:t>
        </m:r>
        <m:r>
          <m:t>a</m:t>
        </m:r>
        <m:r>
          <m:t>b</m:t>
        </m:r>
        <m:r>
          <m:t>r</m:t>
        </m:r>
        <m:r>
          <m:t>u</m:t>
        </m:r>
        <m:r>
          <m:t>t</m:t>
        </m:r>
        <m:r>
          <m:t>a</m:t>
        </m:r>
        <m:r>
          <m:t>l</m:t>
        </m:r>
        <m:r>
          <m:t>g</m:t>
        </m:r>
        <m:r>
          <m:t>u</m:t>
        </m:r>
        <m:r>
          <m:t>i</m:t>
        </m:r>
        <m:r>
          <m:t>d</m:t>
        </m:r>
        <m:r>
          <m:t>a</m:t>
        </m:r>
        <m:r>
          <m:t>n</m:t>
        </m:r>
        <m:r>
          <m:t>c</m:t>
        </m:r>
        <m:r>
          <m:t>e</m:t>
        </m:r>
        <m:r>
          <m:t>c</m:t>
        </m:r>
        <m:r>
          <m:t>u</m:t>
        </m:r>
        <m:r>
          <m:t>t</m:t>
        </m:r>
        <m:r>
          <m:t>o</m:t>
        </m:r>
        <m:r>
          <m:t>n</m:t>
        </m:r>
        <m:r>
          <m:t>t</m:t>
        </m:r>
        <m:r>
          <m:t>h</m:t>
        </m:r>
        <m:r>
          <m:t>e</m:t>
        </m:r>
        <m:r>
          <m:t>Q</m:t>
        </m:r>
        <m:r>
          <m:t>1</m:t>
        </m:r>
        <m:r>
          <m:t>c</m:t>
        </m:r>
        <m:r>
          <m:t>a</m:t>
        </m:r>
        <m:r>
          <m:t>l</m:t>
        </m:r>
        <m:r>
          <m:t>l</m:t>
        </m:r>
        <m:r>
          <m:rPr>
            <m:sty m:val="p"/>
          </m:rPr>
          <m:t>,</m:t>
        </m:r>
        <m:r>
          <m:t>a</m:t>
        </m:r>
        <m:r>
          <m:t>n</m:t>
        </m:r>
        <m:r>
          <m:t>d</m:t>
        </m:r>
        <m:r>
          <m:t>h</m:t>
        </m:r>
        <m:r>
          <m:t>a</m:t>
        </m:r>
        <m:r>
          <m:t>s</m:t>
        </m:r>
        <m:r>
          <m:t>s</m:t>
        </m:r>
        <m:r>
          <m:t>i</m:t>
        </m:r>
        <m:r>
          <m:t>n</m:t>
        </m:r>
        <m:r>
          <m:t>c</m:t>
        </m:r>
        <m:r>
          <m:t>e</m:t>
        </m:r>
        <m:r>
          <m:t>c</m:t>
        </m:r>
        <m:r>
          <m:t>l</m:t>
        </m:r>
        <m:r>
          <m:t>a</m:t>
        </m:r>
        <m:r>
          <m:t>w</m:t>
        </m:r>
        <m:r>
          <m:t>e</m:t>
        </m:r>
        <m:r>
          <m:t>d</m:t>
        </m:r>
        <m:r>
          <m:t>b</m:t>
        </m:r>
        <m:r>
          <m:t>a</m:t>
        </m:r>
        <m:r>
          <m:t>c</m:t>
        </m:r>
        <m:r>
          <m:t>k</m:t>
        </m:r>
        <m:r>
          <m:t>t</m:t>
        </m:r>
        <m:r>
          <m:t>o</m:t>
        </m:r>
        <m:r>
          <m:t>t</m:t>
        </m:r>
        <m:r>
          <m:t>h</m:t>
        </m:r>
        <m:r>
          <m:t>e</m:t>
        </m:r>
        <m:r>
          <m:t>l</m:t>
        </m:r>
        <m:r>
          <m:t>o</m:t>
        </m:r>
        <m:r>
          <m:t>w</m:t>
        </m:r>
        <m:r>
          <m:rPr>
            <m:sty m:val="p"/>
          </m:rPr>
          <m:t>−</m:t>
        </m:r>
      </m:oMath>
      <w:r>
        <w:t xml:space="preserve">20s heading into this report, helped in part by a sharp rally in the final days of July alongside peer earnings reactions. Sentiment remains split: bears point to</w:t>
      </w:r>
      <w:r>
        <w:t xml:space="preserve"> </w:t>
      </w:r>
      <w:r>
        <w:t xml:space="preserve">fundamental underperformance versus Carnival (CCL) and Royal Caribbean (RCL), a heavy debt load, and macro headwinds from elevated fuel prices and geopolitical uncertainty, while bulls cite management's turnaround initiatives and aggressive insider buying as reasons for optimism.</w:t>
      </w:r>
    </w:p>
    <w:p>
      <w:pPr>
        <w:pStyle w:val="BodyText"/>
      </w:pPr>
      <w:r>
        <w:t xml:space="preserve">Leadership context matters here: John Chidsey (former Subway CEO) took over as President &amp; CEO in February 2026, succeeding Harry Sommer, alongside a five-director board refresh. Chidsey has now had roughly two full quarters in the seat, and this call should show more evidence of whether his cost-cutting and commercial "reset" is gaining traction.</w:t>
      </w:r>
    </w:p>
    <w:bookmarkEnd w:id="9"/>
    <w:bookmarkStart w:id="10" w:name="X3a4c3a4c76d716c0392afda0dda7345f26f0c36"/>
    <w:p>
      <w:pPr>
        <w:pStyle w:val="Heading2"/>
      </w:pPr>
      <w:r>
        <w:t xml:space="preserve">2. What Happened Last Quarter (Why Expectations Are Reset So Low)</w:t>
      </w:r>
    </w:p>
    <w:p>
      <w:pPr>
        <w:pStyle w:val="FirstParagraph"/>
      </w:pPr>
      <w:r>
        <w:t xml:space="preserve">Q1 2026 results themselves were solid on the surface — Norwegian delivered Q1 total revenue growth of 10% to $2.3 billion, adjusted EBITDA of $533 million (up 18% y/y, above guidance), and adjusted EPS of $0.23, more than doubling adjusted net income y/y. However, the quarter is remembered for a severe cut to full-year guidance: management lowered full-year net yield guidance to a decline of 3% to 5% (constant currency), cut adjusted EBITDA guidance to</w:t>
      </w:r>
      <w:r>
        <w:t xml:space="preserve"> </w:t>
      </w:r>
      <m:oMath>
        <m:r>
          <m:t>2.48</m:t>
        </m:r>
        <m:r>
          <m:rPr>
            <m:sty m:val="p"/>
          </m:rPr>
          <m:t>–</m:t>
        </m:r>
      </m:oMath>
      <w:r>
        <w:t xml:space="preserve">2.64 billion, and slashed adjusted EPS guidance to</w:t>
      </w:r>
      <w:r>
        <w:t xml:space="preserve"> </w:t>
      </w:r>
      <m:oMath>
        <m:r>
          <m:t>1.45</m:t>
        </m:r>
        <m:r>
          <m:rPr>
            <m:sty m:val="p"/>
          </m:rPr>
          <m:t>–</m:t>
        </m:r>
      </m:oMath>
      <w:r>
        <w:t xml:space="preserve">1.79 — a steep reduction from the prior outlook. Management attributed this to a combination of Middle East conflict disruption (higher fuel and crew logistics costs, softer European demand), the company having entered 2026 already behind its targeted booking curve, and internal execution gaps in marketing and revenue management that CEO Chidsey candidly described as "self-inflicted wounds." Management was explicit that Q3 would be the trough quarter given ~38% European deployment exposure, with CFO Mark Kempa noting a scenario where Q3 net yields could be down high single digits, while Q4 could land anywhere from modestly positive to negative depending on how the back half plays out.</w:t>
      </w:r>
    </w:p>
    <w:bookmarkEnd w:id="10"/>
    <w:bookmarkStart w:id="11" w:name="X6cec6641a5800a36164029e1ed12b56b4530736"/>
    <w:p>
      <w:pPr>
        <w:pStyle w:val="Heading2"/>
      </w:pPr>
      <w:r>
        <w:t xml:space="preserve">3. Q2 Guidance to Beat (The Bar)</w:t>
      </w:r>
    </w:p>
    <w:p>
      <w:pPr>
        <w:pStyle w:val="FirstParagraph"/>
      </w:pPr>
      <w:r>
        <w:t xml:space="preserve">Management's own Q2 guidance, issued alongside Q1 results, calls for:</w:t>
      </w:r>
    </w:p>
    <w:p>
      <w:pPr>
        <w:pStyle w:val="Compact"/>
        <w:numPr>
          <w:ilvl w:val="0"/>
          <w:numId w:val="1001"/>
        </w:numPr>
      </w:pPr>
      <w:r>
        <w:rPr>
          <w:b/>
          <w:bCs/>
        </w:rPr>
        <w:t xml:space="preserve">Net Yield:</w:t>
      </w:r>
      <w:r>
        <w:t xml:space="preserve"> </w:t>
      </w:r>
      <w:r>
        <w:t xml:space="preserve">down ~3.6% (constant currency), reflecting European softness (~26% of Q2 deployment) and weaker domestic close-in demand</w:t>
      </w:r>
    </w:p>
    <w:p>
      <w:pPr>
        <w:pStyle w:val="Compact"/>
        <w:numPr>
          <w:ilvl w:val="0"/>
          <w:numId w:val="1001"/>
        </w:numPr>
      </w:pPr>
      <w:r>
        <w:rPr>
          <w:b/>
          <w:bCs/>
        </w:rPr>
        <w:t xml:space="preserve">Adjusted Net Cruise Cost ex-Fuel:</w:t>
      </w:r>
      <w:r>
        <w:t xml:space="preserve"> </w:t>
      </w:r>
      <w:r>
        <w:t xml:space="preserve">up ~1.0% (constant currency), due to timing of certain costs</w:t>
      </w:r>
    </w:p>
    <w:p>
      <w:pPr>
        <w:pStyle w:val="Compact"/>
        <w:numPr>
          <w:ilvl w:val="0"/>
          <w:numId w:val="1001"/>
        </w:numPr>
      </w:pPr>
      <w:r>
        <w:rPr>
          <w:b/>
          <w:bCs/>
        </w:rPr>
        <w:t xml:space="preserve">Adjusted EBITDA:</w:t>
      </w:r>
      <w:r>
        <w:t xml:space="preserve"> </w:t>
      </w:r>
      <w:r>
        <w:t xml:space="preserve">~$632 million</w:t>
      </w:r>
    </w:p>
    <w:p>
      <w:pPr>
        <w:pStyle w:val="Compact"/>
        <w:numPr>
          <w:ilvl w:val="0"/>
          <w:numId w:val="1001"/>
        </w:numPr>
      </w:pPr>
      <w:r>
        <w:rPr>
          <w:b/>
          <w:bCs/>
        </w:rPr>
        <w:t xml:space="preserve">Adjusted EPS:</w:t>
      </w:r>
      <w:r>
        <w:t xml:space="preserve"> </w:t>
      </w:r>
      <w:r>
        <w:t xml:space="preserve">~$0.38</w:t>
      </w:r>
    </w:p>
    <w:p>
      <w:pPr>
        <w:pStyle w:val="Compact"/>
        <w:numPr>
          <w:ilvl w:val="0"/>
          <w:numId w:val="1001"/>
        </w:numPr>
      </w:pPr>
      <w:r>
        <w:rPr>
          <w:b/>
          <w:bCs/>
        </w:rPr>
        <w:t xml:space="preserve">Occupancy:</w:t>
      </w:r>
      <w:r>
        <w:t xml:space="preserve"> </w:t>
      </w:r>
      <w:r>
        <w:t xml:space="preserve">~102.5%</w:t>
      </w:r>
    </w:p>
    <w:p>
      <w:pPr>
        <w:pStyle w:val="FirstParagraph"/>
      </w:pPr>
      <w:r>
        <w:t xml:space="preserve">Wall Street consensus is roughly in line: Zacks consensus adjusted EPS is $0.39 (a 23.5% y/y decline) on revenue of about $2.63 billion (+4.4% y/y). Notably, NCLH has beaten Zacks consensus in each of the last four quarters, and estimate revisions have been stable over the past 30 days with a modestly positive Earnings ESP — a setup some models read as favorable for another beat. That said, given the magnitude of the guidance reset just one quarter ago, a "beat" on this lowered bar will matter far less to the stock than commentary on booking trends, Q3 trajectory, and Q4 visibility.</w:t>
      </w:r>
    </w:p>
    <w:bookmarkEnd w:id="11"/>
    <w:bookmarkStart w:id="12" w:name="X6cc1a11a42af6ff335249586e1cec1d35d3b47f"/>
    <w:p>
      <w:pPr>
        <w:pStyle w:val="Heading2"/>
      </w:pPr>
      <w:r>
        <w:t xml:space="preserve">4. Key Things to Watch on the Call</w:t>
      </w:r>
    </w:p>
    <w:p>
      <w:pPr>
        <w:pStyle w:val="FirstParagraph"/>
      </w:pPr>
      <w:r>
        <w:rPr>
          <w:b/>
          <w:bCs/>
        </w:rPr>
        <w:t xml:space="preserve">Booking curve / demand trends:</w:t>
      </w:r>
      <w:r>
        <w:t xml:space="preserve"> </w:t>
      </w:r>
      <w:r>
        <w:t xml:space="preserve">Has the European booking gap narrowed at all since May, or has the geopolitical overhang (and associated cancellations) persisted or worsened? Watch specifically for updated commentary on Q3 (the seasonally largest European quarter) and any signs of "green shoots" management alluded to previously.</w:t>
      </w:r>
    </w:p>
    <w:p>
      <w:pPr>
        <w:pStyle w:val="BodyText"/>
      </w:pPr>
      <w:r>
        <w:rPr>
          <w:b/>
          <w:bCs/>
        </w:rPr>
        <w:t xml:space="preserve">Marketing/revenue management turnaround progress:</w:t>
      </w:r>
      <w:r>
        <w:t xml:space="preserve"> </w:t>
      </w:r>
      <w:r>
        <w:t xml:space="preserve">NCLH named Lee D. Applbaum as Chief Marketing Officer effective July 6, 2026, a hire management flagged as critical to fixing years of ineffective ad spend and demand generation. Investors will want an update on how quickly this new leadership, combined with the Phase 1 revenue management system rollout, is translating into better occupancy and pricing — management has repeatedly cautioned this is a multi-quarter (not immediate) fix, with real green shoots not expected until 2027.</w:t>
      </w:r>
    </w:p>
    <w:p>
      <w:pPr>
        <w:pStyle w:val="BodyText"/>
      </w:pPr>
      <w:r>
        <w:rPr>
          <w:b/>
          <w:bCs/>
        </w:rPr>
        <w:t xml:space="preserve">Cost execution:</w:t>
      </w:r>
      <w:r>
        <w:t xml:space="preserve"> </w:t>
      </w:r>
      <w:r>
        <w:t xml:space="preserve">Norwegian has targeted approximately $125 million in annualized SG&amp;A/marketing savings (including a ~15% reduction in shoreside salary/benefit costs) and guided full-year Adjusted Net Cruise Cost ex-Fuel to roughly flat. Given cost has been the one clear area of outperformance (Q1 NCC ex-fuel came in better than guided), continued cost discipline is likely but the offsetting question is whether Middle East-related crew/logistics costs are proving more persistent than the "transitory" characterization management gave last quarter.</w:t>
      </w:r>
    </w:p>
    <w:p>
      <w:pPr>
        <w:pStyle w:val="BodyText"/>
      </w:pPr>
      <w:r>
        <w:rPr>
          <w:b/>
          <w:bCs/>
        </w:rPr>
        <w:t xml:space="preserve">Leverage trajectory:</w:t>
      </w:r>
      <w:r>
        <w:t xml:space="preserve"> </w:t>
      </w:r>
      <w:r>
        <w:t xml:space="preserve">Net leverage stood at 5.3x as of Q1 (net debt of ~</w:t>
      </w:r>
      <m:oMath>
        <m:r>
          <m:t>15.0</m:t>
        </m:r>
        <m:r>
          <m:t>b</m:t>
        </m:r>
        <m:r>
          <m:t>i</m:t>
        </m:r>
        <m:r>
          <m:t>l</m:t>
        </m:r>
        <m:r>
          <m:t>l</m:t>
        </m:r>
        <m:r>
          <m:t>i</m:t>
        </m:r>
        <m:r>
          <m:t>o</m:t>
        </m:r>
        <m:r>
          <m:t>n</m:t>
        </m:r>
        <m:r>
          <m:t>a</m:t>
        </m:r>
        <m:r>
          <m:t>g</m:t>
        </m:r>
        <m:r>
          <m:t>a</m:t>
        </m:r>
        <m:r>
          <m:t>i</m:t>
        </m:r>
        <m:r>
          <m:t>n</m:t>
        </m:r>
        <m:r>
          <m:t>s</m:t>
        </m:r>
        <m:r>
          <m:t>t</m:t>
        </m:r>
        <m:r>
          <m:t>t</m:t>
        </m:r>
        <m:r>
          <m:t>o</m:t>
        </m:r>
        <m:r>
          <m:t>t</m:t>
        </m:r>
        <m:r>
          <m:t>a</m:t>
        </m:r>
        <m:r>
          <m:t>l</m:t>
        </m:r>
        <m:r>
          <m:t>d</m:t>
        </m:r>
        <m:r>
          <m:t>e</m:t>
        </m:r>
        <m:r>
          <m:t>b</m:t>
        </m:r>
        <m:r>
          <m:t>t</m:t>
        </m:r>
        <m:r>
          <m:t>o</m:t>
        </m:r>
        <m:r>
          <m:t>f</m:t>
        </m:r>
        <m:r>
          <m:t> </m:t>
        </m:r>
      </m:oMath>
      <w:r>
        <w:t xml:space="preserve">15.2 billion), and CFO Kempa indicated year-end leverage could land in the "high 5s" given the reduced EBITDA outlook — a sensitive topic given NCLH's balance sheet is more levered than peers. Watch for any update on de-leveraging timeline, especially as management has pointed to moderating newbuild capex (only one ship delivery in each of 2028 and 2029, down from two-to-three ships/year previously) as the path to improved free cash flow.</w:t>
      </w:r>
    </w:p>
    <w:p>
      <w:pPr>
        <w:pStyle w:val="BodyText"/>
      </w:pPr>
      <w:r>
        <w:rPr>
          <w:b/>
          <w:bCs/>
        </w:rPr>
        <w:t xml:space="preserve">Great Stirrup Cay / Great Tides Waterpark:</w:t>
      </w:r>
      <w:r>
        <w:t xml:space="preserve"> </w:t>
      </w:r>
      <w:r>
        <w:t xml:space="preserve">The private-island water park was slated to open by the end of Q3 2026 and is a real, tangible near-term catalyst management has pointed to as a demand driver for the back half of the year and into 2027.</w:t>
      </w:r>
    </w:p>
    <w:p>
      <w:pPr>
        <w:pStyle w:val="BodyText"/>
      </w:pPr>
      <w:r>
        <w:rPr>
          <w:b/>
          <w:bCs/>
        </w:rPr>
        <w:t xml:space="preserve">Litigation/governance overhang:</w:t>
      </w:r>
      <w:r>
        <w:t xml:space="preserve"> </w:t>
      </w:r>
      <w:r>
        <w:t xml:space="preserve">Note that a securities-fraud investigation (Block &amp; Leviton) was opened following the Q1 guidance reset, and the Q1 filings already disclosed "professional advisory fees" tied to activist investor activity — both potential distractions worth monitoring for updates.</w:t>
      </w:r>
    </w:p>
    <w:bookmarkEnd w:id="12"/>
    <w:bookmarkStart w:id="13" w:name="Xd6ecd46c04d3dd81976745e37054eab320a978b"/>
    <w:p>
      <w:pPr>
        <w:pStyle w:val="Heading2"/>
      </w:pPr>
      <w:r>
        <w:t xml:space="preserve">5. Peer Read-Through: A Mixed Signal for NCLH</w:t>
      </w:r>
    </w:p>
    <w:p>
      <w:pPr>
        <w:pStyle w:val="FirstParagraph"/>
      </w:pPr>
      <w:r>
        <w:t xml:space="preserve">The two large-cap peers have already reported their comparable quarters, and the results offer a useful cross-check on industry-wide headwinds versus NCLH-specific execution issues:</w:t>
      </w:r>
    </w:p>
    <w:p>
      <w:pPr>
        <w:pStyle w:val="Compact"/>
        <w:numPr>
          <w:ilvl w:val="0"/>
          <w:numId w:val="1002"/>
        </w:numPr>
      </w:pPr>
      <w:r>
        <w:rPr>
          <w:b/>
          <w:bCs/>
        </w:rPr>
        <w:t xml:space="preserve">Carnival (CCL)</w:t>
      </w:r>
      <w:r>
        <w:t xml:space="preserve"> </w:t>
      </w:r>
      <w:r>
        <w:t xml:space="preserve">reported fiscal Q2 adjusted EPS of 41 cents (beating the 34-cent estimate) and EBITDA of $1.582 billion (topping consensus), but revenue of $6.66 billion missed slightly, and shares fell as much as 10.6% on a disappointing Q3 EPS forecast, with management explicitly citing Iran-conflict-driven booking disruption concentrated in Europe/the Mediterranean.</w:t>
      </w:r>
    </w:p>
    <w:p>
      <w:pPr>
        <w:pStyle w:val="Compact"/>
        <w:numPr>
          <w:ilvl w:val="0"/>
          <w:numId w:val="1002"/>
        </w:numPr>
      </w:pPr>
      <w:r>
        <w:rPr>
          <w:b/>
          <w:bCs/>
        </w:rPr>
        <w:t xml:space="preserve">Royal Caribbean (RCL)</w:t>
      </w:r>
      <w:r>
        <w:t xml:space="preserve"> </w:t>
      </w:r>
      <w:r>
        <w:t xml:space="preserve">reported Q2 EPS of $4.21, beating the $3.98 estimate, and raised full-year EPS guidance to</w:t>
      </w:r>
      <w:r>
        <w:t xml:space="preserve"> </w:t>
      </w:r>
      <m:oMath>
        <m:r>
          <m:t>17.73</m:t>
        </m:r>
        <m:r>
          <m:rPr>
            <m:sty m:val="p"/>
          </m:rPr>
          <m:t>–</m:t>
        </m:r>
      </m:oMath>
      <w:r>
        <w:t xml:space="preserve">17.87 from</w:t>
      </w:r>
      <w:r>
        <w:t xml:space="preserve"> </w:t>
      </w:r>
      <m:oMath>
        <m:r>
          <m:t>17.10</m:t>
        </m:r>
        <m:r>
          <m:rPr>
            <m:sty m:val="p"/>
          </m:rPr>
          <m:t>–</m:t>
        </m:r>
      </m:oMath>
      <w:r>
        <w:t xml:space="preserve">17.50, even as it trimmed its full-year revenue growth outlook to ~9% (from ~10%) citing a "modest booking impact for select itineraries primarily due to prolonged geopolitical activity."</w:t>
      </w:r>
    </w:p>
    <w:p>
      <w:pPr>
        <w:pStyle w:val="FirstParagraph"/>
      </w:pPr>
      <w:r>
        <w:t xml:space="preserve">The key takeaway: both larger peers are absorbing the same Middle East/fuel/European headwinds NCLH has cited, but are managing through them with far less guidance damage — RCL actually raised its outlook. This reinforces the market's read that a meaningful portion of NCLH's underperformance is company-specific (marketing/revenue-management execution and an unfavorable starting booking position) rather than purely macro-driven, which is exactly the framing management itself used on the Q1 call.</w:t>
      </w:r>
    </w:p>
    <w:bookmarkEnd w:id="13"/>
    <w:bookmarkStart w:id="14" w:name="X6a773f981516d3131ef5262d49e65b626e8c12f"/>
    <w:p>
      <w:pPr>
        <w:pStyle w:val="Heading2"/>
      </w:pPr>
      <w:r>
        <w:t xml:space="preserve">6. Balance Sheet &amp; Capital Allocation Snapshot (as of Q1 2026)</w:t>
      </w:r>
    </w:p>
    <w:p>
      <w:pPr>
        <w:pStyle w:val="Compact"/>
        <w:numPr>
          <w:ilvl w:val="0"/>
          <w:numId w:val="1003"/>
        </w:numPr>
      </w:pPr>
      <w:r>
        <w:t xml:space="preserve">Total debt: $15.15 billion; Net debt: $14.97 billion; Net leverage: 5.3x</w:t>
      </w:r>
    </w:p>
    <w:p>
      <w:pPr>
        <w:pStyle w:val="Compact"/>
        <w:numPr>
          <w:ilvl w:val="0"/>
          <w:numId w:val="1003"/>
        </w:numPr>
      </w:pPr>
      <w:r>
        <w:t xml:space="preserve">Liquidity:</w:t>
      </w:r>
      <w:r>
        <w:t xml:space="preserve"> </w:t>
      </w:r>
      <m:oMath>
        <m:r>
          <m:t>1.6</m:t>
        </m:r>
        <m:r>
          <m:t>b</m:t>
        </m:r>
        <m:r>
          <m:t>i</m:t>
        </m:r>
        <m:r>
          <m:t>l</m:t>
        </m:r>
        <m:r>
          <m:t>l</m:t>
        </m:r>
        <m:r>
          <m:t>i</m:t>
        </m:r>
        <m:r>
          <m:t>o</m:t>
        </m:r>
        <m:r>
          <m:t>n</m:t>
        </m:r>
        <m:r>
          <m:rPr>
            <m:sty m:val="p"/>
          </m:rPr>
          <m:t>(</m:t>
        </m:r>
        <m:r>
          <m:t>c</m:t>
        </m:r>
        <m:r>
          <m:t>a</m:t>
        </m:r>
        <m:r>
          <m:t>s</m:t>
        </m:r>
        <m:r>
          <m:t>h</m:t>
        </m:r>
        <m:r>
          <m:t>o</m:t>
        </m:r>
        <m:r>
          <m:t>f</m:t>
        </m:r>
        <m:r>
          <m:t> </m:t>
        </m:r>
      </m:oMath>
      <w:r>
        <w:t xml:space="preserve">185 million plus $1.4 billion revolver availability)</w:t>
      </w:r>
    </w:p>
    <w:p>
      <w:pPr>
        <w:pStyle w:val="Compact"/>
        <w:numPr>
          <w:ilvl w:val="0"/>
          <w:numId w:val="1003"/>
        </w:numPr>
      </w:pPr>
      <w:r>
        <w:t xml:space="preserve">No significant debt maturities until 2030, providing some near-term flexibility</w:t>
      </w:r>
    </w:p>
    <w:p>
      <w:pPr>
        <w:pStyle w:val="Compact"/>
        <w:numPr>
          <w:ilvl w:val="0"/>
          <w:numId w:val="1003"/>
        </w:numPr>
      </w:pPr>
      <w:r>
        <w:t xml:space="preserve">Newbuild capex expected to decline by nearly $1 billion/year starting 2028, an important inflection point for future free cash flow and de-leveraging</w:t>
      </w:r>
    </w:p>
    <w:bookmarkEnd w:id="14"/>
    <w:bookmarkStart w:id="15" w:name="X3201c3f1814ce1f600f437755fa48bb18d1e8cf"/>
    <w:p>
      <w:pPr>
        <w:pStyle w:val="Heading2"/>
      </w:pPr>
      <w:r>
        <w:t xml:space="preserve">7. Sentiment Check: Valuation vs. Insider Conviction</w:t>
      </w:r>
    </w:p>
    <w:p>
      <w:pPr>
        <w:pStyle w:val="FirstParagraph"/>
      </w:pPr>
      <w:r>
        <w:t xml:space="preserve">NCLH trades at a discounted forward P/E relative to history and peers, and despite a rough year, insider buying has been notably aggressive — one recent report cited</w:t>
      </w:r>
      <w:r>
        <w:t xml:space="preserve"> </w:t>
      </w:r>
      <w:r>
        <w:rPr>
          <w:b/>
          <w:bCs/>
        </w:rPr>
        <w:t xml:space="preserve">$29.2 million in insider share purchases over the trailing three months and no recorded sales</w:t>
      </w:r>
      <w:r>
        <w:t xml:space="preserve">, including a purchase by the CEO himself, which bulls view as a signal of internal confidence in the turnaround thesis. Against that, sell-side sentiment has grown more cautious: several firms cut price targets sharply following the Q1 reset (e.g., Goldman Sachs to $14, Susquehanna to $15 with a Neutral rating), while others held firm (Wells Fargo Overweight, Stifel Buy), leaving the stock with a consensus "Hold"/"Moderate Buy" rating and an average target price in the low-to-mid $20s — modest upside from current levels but reflecting a "show-me" stance from the Street.</w:t>
      </w:r>
    </w:p>
    <w:bookmarkEnd w:id="15"/>
    <w:bookmarkStart w:id="16" w:name="X59a56c4de27670f2623d3582f339eb306b624b0"/>
    <w:p>
      <w:pPr>
        <w:pStyle w:val="Heading2"/>
      </w:pPr>
      <w:r>
        <w:t xml:space="preserve">8. Bottom Line</w:t>
      </w:r>
    </w:p>
    <w:p>
      <w:pPr>
        <w:pStyle w:val="FirstParagraph"/>
      </w:pPr>
      <w:r>
        <w:t xml:space="preserve">This print is less about whether NCLH clears a lowered EPS/EBITDA bar (likely, given recent beat history and stable estimates) and more about the qualitative signal on the turnaround: is Europe/booking momentum stabilizing into peak Q3, is the new marketing leadership showing early traction, and is management's confidence that leverage improves and yields recover into 2027 still credible given what peers CCL and RCL are reporting for the same operating environment. Given management already told investors to expect Q3 to be the weakest quarter of the year and possibly negative Q4 yields at the low end of guidance, the bar for "good news" is really about incremental stabilization and proof of execution rather than outright numbers.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2026-07-29T18:03:07Z</dcterms:created>
  <dcterms:modified xsi:type="dcterms:W3CDTF">2026-07-29T18:03:07Z</dcterms:modified>
</cp:coreProperties>
</file>

<file path=docProps/custom.xml><?xml version="1.0" encoding="utf-8"?>
<Properties xmlns="http://schemas.openxmlformats.org/officeDocument/2006/custom-properties" xmlns:vt="http://schemas.openxmlformats.org/officeDocument/2006/docPropsVTypes"/>
</file>