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nclh-q2-2026-earnings-preview"/>
    <w:p>
      <w:pPr>
        <w:pStyle w:val="Heading1"/>
      </w:pPr>
      <w:r>
        <w:t xml:space="preserve">NCLH Q2 2026 Earnings Preview</w:t>
      </w:r>
    </w:p>
    <w:p>
      <w:pPr>
        <w:pStyle w:val="FirstParagraph"/>
      </w:pPr>
      <w:r>
        <w:rPr>
          <w:b/>
          <w:bCs/>
        </w:rPr>
        <w:t xml:space="preserve">Report:</w:t>
      </w:r>
      <w:r>
        <w:t xml:space="preserve"> </w:t>
      </w:r>
      <w:r>
        <w:t xml:space="preserve">Thursday, July 30, 2026, at</w:t>
      </w:r>
      <w:r>
        <w:t xml:space="preserve"> </w:t>
      </w:r>
      <w:r>
        <w:rPr>
          <w:b/>
          <w:bCs/>
        </w:rPr>
        <w:t xml:space="preserve">6:30 a.m. ET</w:t>
      </w:r>
      <w:r>
        <w:br/>
      </w:r>
      <w:r>
        <w:rPr>
          <w:b/>
          <w:bCs/>
        </w:rPr>
        <w:t xml:space="preserve">Conference call:</w:t>
      </w:r>
      <w:r>
        <w:t xml:space="preserve"> </w:t>
      </w:r>
      <w:r>
        <w:rPr>
          <w:b/>
          <w:bCs/>
        </w:rPr>
        <w:t xml:space="preserve">8:30 a.m. ET</w:t>
      </w:r>
    </w:p>
    <w:bookmarkStart w:id="9" w:name="investment-setup"/>
    <w:p>
      <w:pPr>
        <w:pStyle w:val="Heading2"/>
      </w:pPr>
      <w:r>
        <w:t xml:space="preserve">Investment setup</w:t>
      </w:r>
    </w:p>
    <w:p>
      <w:pPr>
        <w:pStyle w:val="FirstParagraph"/>
      </w:pPr>
      <w:r>
        <w:t xml:space="preserve">Norwegian Cruise Line Holdings enters Q2 earnings as a</w:t>
      </w:r>
      <w:r>
        <w:t xml:space="preserve"> </w:t>
      </w:r>
      <w:r>
        <w:rPr>
          <w:b/>
          <w:bCs/>
        </w:rPr>
        <w:t xml:space="preserve">company-specific turnaround story within an otherwise healthy cruise industry</w:t>
      </w:r>
      <w:r>
        <w:t xml:space="preserve">.</w:t>
      </w:r>
    </w:p>
    <w:p>
      <w:pPr>
        <w:pStyle w:val="BodyText"/>
      </w:pPr>
      <w:r>
        <w:t xml:space="preserve">The quarter itself has a relatively clear hurdle: management guided to approximately</w:t>
      </w:r>
      <w:r>
        <w:t xml:space="preserve"> </w:t>
      </w:r>
      <w:r>
        <w:rPr>
          <w:b/>
          <w:bCs/>
        </w:rPr>
        <w:t xml:space="preserve">$632 million of adjusted EBITDA and $0.38 of adjusted EPS</w:t>
      </w:r>
      <w:r>
        <w:t xml:space="preserve">. The more consequential questions concern the second half—particularly whether Norwegian Cruise Line’s booking weakness has stabilized, whether full-year guidance can be maintained, and whether management is making measurable progress repairing marketing and revenue-management execution.</w:t>
      </w:r>
    </w:p>
    <w:p>
      <w:pPr>
        <w:pStyle w:val="BodyText"/>
      </w:pPr>
      <w:r>
        <w:t xml:space="preserve">Peers have set a demanding backdrop:</w:t>
      </w:r>
    </w:p>
    <w:p>
      <w:pPr>
        <w:pStyle w:val="Compact"/>
        <w:numPr>
          <w:ilvl w:val="0"/>
          <w:numId w:val="1001"/>
        </w:numPr>
      </w:pPr>
      <w:r>
        <w:t xml:space="preserve">Royal Caribbean reported Q2 constant-currency net-yield growth of</w:t>
      </w:r>
      <w:r>
        <w:t xml:space="preserve"> </w:t>
      </w:r>
      <w:r>
        <w:rPr>
          <w:b/>
          <w:bCs/>
        </w:rPr>
        <w:t xml:space="preserve">1.2%</w:t>
      </w:r>
      <w:r>
        <w:t xml:space="preserve">, exceeded expectations and raised full-year guidance.</w:t>
      </w:r>
    </w:p>
    <w:p>
      <w:pPr>
        <w:pStyle w:val="Compact"/>
        <w:numPr>
          <w:ilvl w:val="0"/>
          <w:numId w:val="1001"/>
        </w:numPr>
      </w:pPr>
      <w:r>
        <w:t xml:space="preserve">Carnival reported Q2 constant-currency net-yield growth of</w:t>
      </w:r>
      <w:r>
        <w:t xml:space="preserve"> </w:t>
      </w:r>
      <w:r>
        <w:rPr>
          <w:b/>
          <w:bCs/>
        </w:rPr>
        <w:t xml:space="preserve">2.2%</w:t>
      </w:r>
      <w:r>
        <w:t xml:space="preserve">, record customer deposits and a strong booked position.</w:t>
      </w:r>
    </w:p>
    <w:p>
      <w:pPr>
        <w:pStyle w:val="Compact"/>
        <w:numPr>
          <w:ilvl w:val="0"/>
          <w:numId w:val="1001"/>
        </w:numPr>
      </w:pPr>
      <w:r>
        <w:t xml:space="preserve">NCLH, by contrast, guided to a</w:t>
      </w:r>
      <w:r>
        <w:t xml:space="preserve"> </w:t>
      </w:r>
      <w:r>
        <w:rPr>
          <w:b/>
          <w:bCs/>
        </w:rPr>
        <w:t xml:space="preserve">3.6% constant-currency net-yield decline</w:t>
      </w:r>
      <w:r>
        <w:t xml:space="preserve"> </w:t>
      </w:r>
      <w:r>
        <w:t xml:space="preserve">for Q2 and warned that Q3 could be materially worse.</w:t>
      </w:r>
    </w:p>
    <w:p>
      <w:pPr>
        <w:pStyle w:val="FirstParagraph"/>
      </w:pPr>
      <w:r>
        <w:t xml:space="preserve">That divergence makes it difficult to attribute NCLH’s problems solely to geopolitics or the consumer. The market is likely to judge the report primarily on evidence that the company’s internal execution issues are beginning to improve.</w:t>
      </w:r>
    </w:p>
    <w:bookmarkEnd w:id="9"/>
    <w:bookmarkStart w:id="10" w:name="key-numbers-to-watch"/>
    <w:p>
      <w:pPr>
        <w:pStyle w:val="Heading2"/>
      </w:pPr>
      <w:r>
        <w:t xml:space="preserve">Key numbers to watch</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Q2 company guidance</w:t>
            </w:r>
          </w:p>
        </w:tc>
        <w:tc>
          <w:tcPr/>
          <w:p>
            <w:pPr>
              <w:pStyle w:val="Compact"/>
            </w:pPr>
            <w:r>
              <w:t xml:space="preserve">Why it matters</w:t>
            </w:r>
          </w:p>
        </w:tc>
      </w:tr>
      <w:tr>
        <w:tc>
          <w:tcPr/>
          <w:p>
            <w:pPr>
              <w:pStyle w:val="Compact"/>
            </w:pPr>
            <w:r>
              <w:t xml:space="preserve">Constant-currency net yield</w:t>
            </w:r>
          </w:p>
        </w:tc>
        <w:tc>
          <w:tcPr/>
          <w:p>
            <w:pPr>
              <w:pStyle w:val="Compact"/>
              <w:jc w:val="right"/>
            </w:pPr>
            <w:r>
              <w:rPr>
                <w:b/>
                <w:bCs/>
              </w:rPr>
              <w:t xml:space="preserve">Down ~3.6% YoY</w:t>
            </w:r>
          </w:p>
        </w:tc>
        <w:tc>
          <w:tcPr/>
          <w:p>
            <w:pPr>
              <w:pStyle w:val="Compact"/>
            </w:pPr>
            <w:r>
              <w:t xml:space="preserve">Central measure of pricing, occupancy and revenue execution</w:t>
            </w:r>
          </w:p>
        </w:tc>
      </w:tr>
      <w:tr>
        <w:tc>
          <w:tcPr/>
          <w:p>
            <w:pPr>
              <w:pStyle w:val="Compact"/>
            </w:pPr>
            <w:r>
              <w:t xml:space="preserve">Adjusted net cruise cost ex-fuel per capacity day</w:t>
            </w:r>
          </w:p>
        </w:tc>
        <w:tc>
          <w:tcPr/>
          <w:p>
            <w:pPr>
              <w:pStyle w:val="Compact"/>
              <w:jc w:val="right"/>
            </w:pPr>
            <w:r>
              <w:rPr>
                <w:b/>
                <w:bCs/>
              </w:rPr>
              <w:t xml:space="preserve">Up ~1.0%</w:t>
            </w:r>
          </w:p>
        </w:tc>
        <w:tc>
          <w:tcPr/>
          <w:p>
            <w:pPr>
              <w:pStyle w:val="Compact"/>
            </w:pPr>
            <w:r>
              <w:t xml:space="preserve">Tests whether restructuring savings are arriving as planned</w:t>
            </w:r>
          </w:p>
        </w:tc>
      </w:tr>
      <w:tr>
        <w:tc>
          <w:tcPr/>
          <w:p>
            <w:pPr>
              <w:pStyle w:val="Compact"/>
            </w:pPr>
            <w:r>
              <w:t xml:space="preserve">Adjusted EBITDA</w:t>
            </w:r>
          </w:p>
        </w:tc>
        <w:tc>
          <w:tcPr/>
          <w:p>
            <w:pPr>
              <w:pStyle w:val="Compact"/>
              <w:jc w:val="right"/>
            </w:pPr>
            <w:r>
              <w:rPr>
                <w:b/>
                <w:bCs/>
              </w:rPr>
              <w:t xml:space="preserve">~$632 million</w:t>
            </w:r>
          </w:p>
        </w:tc>
        <w:tc>
          <w:tcPr/>
          <w:p>
            <w:pPr>
              <w:pStyle w:val="Compact"/>
            </w:pPr>
            <w:r>
              <w:t xml:space="preserve">Primary operating-earnings hurdle</w:t>
            </w:r>
          </w:p>
        </w:tc>
      </w:tr>
      <w:tr>
        <w:tc>
          <w:tcPr/>
          <w:p>
            <w:pPr>
              <w:pStyle w:val="Compact"/>
            </w:pPr>
            <w:r>
              <w:t xml:space="preserve">Adjusted operational EBITDA margin</w:t>
            </w:r>
          </w:p>
        </w:tc>
        <w:tc>
          <w:tcPr/>
          <w:p>
            <w:pPr>
              <w:pStyle w:val="Compact"/>
              <w:jc w:val="right"/>
            </w:pPr>
            <w:r>
              <w:rPr>
                <w:b/>
                <w:bCs/>
              </w:rPr>
              <w:t xml:space="preserve">~32.5%</w:t>
            </w:r>
          </w:p>
        </w:tc>
        <w:tc>
          <w:tcPr/>
          <w:p>
            <w:pPr>
              <w:pStyle w:val="Compact"/>
            </w:pPr>
            <w:r>
              <w:t xml:space="preserve">Shows how well cost savings offset weak yields and fuel</w:t>
            </w:r>
          </w:p>
        </w:tc>
      </w:tr>
      <w:tr>
        <w:tc>
          <w:tcPr/>
          <w:p>
            <w:pPr>
              <w:pStyle w:val="Compact"/>
            </w:pPr>
            <w:r>
              <w:t xml:space="preserve">Adjusted net income</w:t>
            </w:r>
          </w:p>
        </w:tc>
        <w:tc>
          <w:tcPr/>
          <w:p>
            <w:pPr>
              <w:pStyle w:val="Compact"/>
              <w:jc w:val="right"/>
            </w:pPr>
            <w:r>
              <w:rPr>
                <w:b/>
                <w:bCs/>
              </w:rPr>
              <w:t xml:space="preserve">~$178 million</w:t>
            </w:r>
          </w:p>
        </w:tc>
        <w:tc>
          <w:tcPr/>
          <w:p>
            <w:pPr>
              <w:pStyle w:val="Compact"/>
            </w:pPr>
            <w:r>
              <w:t xml:space="preserve">Bottom-line operating performance</w:t>
            </w:r>
          </w:p>
        </w:tc>
      </w:tr>
      <w:tr>
        <w:tc>
          <w:tcPr/>
          <w:p>
            <w:pPr>
              <w:pStyle w:val="Compact"/>
            </w:pPr>
            <w:r>
              <w:t xml:space="preserve">Adjusted EPS</w:t>
            </w:r>
          </w:p>
        </w:tc>
        <w:tc>
          <w:tcPr/>
          <w:p>
            <w:pPr>
              <w:pStyle w:val="Compact"/>
              <w:jc w:val="right"/>
            </w:pPr>
            <w:r>
              <w:rPr>
                <w:b/>
                <w:bCs/>
              </w:rPr>
              <w:t xml:space="preserve">~$0.38</w:t>
            </w:r>
          </w:p>
        </w:tc>
        <w:tc>
          <w:tcPr/>
          <w:p>
            <w:pPr>
              <w:pStyle w:val="Compact"/>
            </w:pPr>
            <w:r>
              <w:t xml:space="preserve">Company-provided EPS benchmark</w:t>
            </w:r>
          </w:p>
        </w:tc>
      </w:tr>
      <w:tr>
        <w:tc>
          <w:tcPr/>
          <w:p>
            <w:pPr>
              <w:pStyle w:val="Compact"/>
            </w:pPr>
            <w:r>
              <w:t xml:space="preserve">Capacity days</w:t>
            </w:r>
          </w:p>
        </w:tc>
        <w:tc>
          <w:tcPr/>
          <w:p>
            <w:pPr>
              <w:pStyle w:val="Compact"/>
              <w:jc w:val="right"/>
            </w:pPr>
            <w:r>
              <w:rPr>
                <w:b/>
                <w:bCs/>
              </w:rPr>
              <w:t xml:space="preserve">~6.6 million</w:t>
            </w:r>
          </w:p>
        </w:tc>
        <w:tc>
          <w:tcPr/>
          <w:p>
            <w:pPr>
              <w:pStyle w:val="Compact"/>
            </w:pPr>
            <w:r>
              <w:t xml:space="preserve">Approximately 7% capacity growth creates both opportunity and execution risk</w:t>
            </w:r>
          </w:p>
        </w:tc>
      </w:tr>
      <w:tr>
        <w:tc>
          <w:tcPr/>
          <w:p>
            <w:pPr>
              <w:pStyle w:val="Compact"/>
            </w:pPr>
            <w:r>
              <w:t xml:space="preserve">Occupancy</w:t>
            </w:r>
          </w:p>
        </w:tc>
        <w:tc>
          <w:tcPr/>
          <w:p>
            <w:pPr>
              <w:pStyle w:val="Compact"/>
              <w:jc w:val="right"/>
            </w:pPr>
            <w:r>
              <w:rPr>
                <w:b/>
                <w:bCs/>
              </w:rPr>
              <w:t xml:space="preserve">~102.5%</w:t>
            </w:r>
          </w:p>
        </w:tc>
        <w:tc>
          <w:tcPr/>
          <w:p>
            <w:pPr>
              <w:pStyle w:val="Compact"/>
            </w:pPr>
            <w:r>
              <w:t xml:space="preserve">Particularly important given management’s admission that loads are below potential</w:t>
            </w:r>
          </w:p>
        </w:tc>
      </w:tr>
      <w:tr>
        <w:tc>
          <w:tcPr/>
          <w:p>
            <w:pPr>
              <w:pStyle w:val="Compact"/>
            </w:pPr>
            <w:r>
              <w:t xml:space="preserve">Fuel consumption</w:t>
            </w:r>
          </w:p>
        </w:tc>
        <w:tc>
          <w:tcPr/>
          <w:p>
            <w:pPr>
              <w:pStyle w:val="Compact"/>
              <w:jc w:val="right"/>
            </w:pPr>
            <w:r>
              <w:rPr>
                <w:b/>
                <w:bCs/>
              </w:rPr>
              <w:t xml:space="preserve">~251,000 metric tons</w:t>
            </w:r>
          </w:p>
        </w:tc>
        <w:tc>
          <w:tcPr/>
          <w:p>
            <w:pPr>
              <w:pStyle w:val="Compact"/>
            </w:pPr>
            <w:r>
              <w:t xml:space="preserve">Higher oil prices have become a material headwind</w:t>
            </w:r>
          </w:p>
        </w:tc>
      </w:tr>
      <w:tr>
        <w:tc>
          <w:tcPr/>
          <w:p>
            <w:pPr>
              <w:pStyle w:val="Compact"/>
            </w:pPr>
            <w:r>
              <w:t xml:space="preserve">Fuel price, net of hedges</w:t>
            </w:r>
          </w:p>
        </w:tc>
        <w:tc>
          <w:tcPr/>
          <w:p>
            <w:pPr>
              <w:pStyle w:val="Compact"/>
              <w:jc w:val="right"/>
            </w:pPr>
            <w:r>
              <w:rPr>
                <w:b/>
                <w:bCs/>
              </w:rPr>
              <w:t xml:space="preserve">~$860/metric ton</w:t>
            </w:r>
          </w:p>
        </w:tc>
        <w:tc>
          <w:tcPr/>
          <w:p>
            <w:pPr>
              <w:pStyle w:val="Compact"/>
            </w:pPr>
            <w:r>
              <w:t xml:space="preserve">Well above Q1’s $651</w:t>
            </w:r>
          </w:p>
        </w:tc>
      </w:tr>
    </w:tbl>
    <w:p>
      <w:pPr>
        <w:pStyle w:val="BodyText"/>
      </w:pPr>
      <w:r>
        <w:t xml:space="preserve">For Q2, every</w:t>
      </w:r>
      <w:r>
        <w:t xml:space="preserve"> </w:t>
      </w:r>
      <w:r>
        <w:rPr>
          <w:b/>
          <w:bCs/>
        </w:rPr>
        <w:t xml:space="preserve">1% change in net yield</w:t>
      </w:r>
      <w:r>
        <w:t xml:space="preserve"> </w:t>
      </w:r>
      <w:r>
        <w:t xml:space="preserve">is worth approximately</w:t>
      </w:r>
      <w:r>
        <w:t xml:space="preserve"> </w:t>
      </w:r>
      <w:r>
        <w:rPr>
          <w:b/>
          <w:bCs/>
        </w:rPr>
        <w:t xml:space="preserve">$19 million of adjusted EBITDA and $0.04 of EPS</w:t>
      </w:r>
      <w:r>
        <w:t xml:space="preserve">. That makes seemingly small changes in close-in demand meaningful.</w:t>
      </w:r>
    </w:p>
    <w:bookmarkEnd w:id="10"/>
    <w:bookmarkStart w:id="11" w:name="X1d151e900a922381997980503487b82c6ccf0d9"/>
    <w:p>
      <w:pPr>
        <w:pStyle w:val="Heading2"/>
      </w:pPr>
      <w:r>
        <w:t xml:space="preserve">The most important issue: bookings and net yield</w:t>
      </w:r>
    </w:p>
    <w:p>
      <w:pPr>
        <w:pStyle w:val="FirstParagraph"/>
      </w:pPr>
      <w:r>
        <w:t xml:space="preserve">Management entered 2026 behind its preferred booking curve, particularly at the Norwegian brand. That left the company more dependent on close-in bookings just as geopolitical uncertainty weakened European demand and pressured travel sentiment more broadly.</w:t>
      </w:r>
    </w:p>
    <w:p>
      <w:pPr>
        <w:pStyle w:val="BodyText"/>
      </w:pPr>
      <w:r>
        <w:t xml:space="preserve">The Q2 call needs to answer four questions:</w:t>
      </w:r>
    </w:p>
    <w:p>
      <w:pPr>
        <w:numPr>
          <w:ilvl w:val="0"/>
          <w:numId w:val="1002"/>
        </w:numPr>
      </w:pPr>
      <w:r>
        <w:rPr>
          <w:b/>
          <w:bCs/>
        </w:rPr>
        <w:t xml:space="preserve">Did Q2 net yield land near the guided 3.6% decline?</w:t>
      </w:r>
      <w:r>
        <w:br/>
      </w:r>
      <w:r>
        <w:t xml:space="preserve">A materially worse result would suggest booking softness intensified after the May outlook.</w:t>
      </w:r>
    </w:p>
    <w:p>
      <w:pPr>
        <w:numPr>
          <w:ilvl w:val="0"/>
          <w:numId w:val="1002"/>
        </w:numPr>
      </w:pPr>
      <w:r>
        <w:rPr>
          <w:b/>
          <w:bCs/>
        </w:rPr>
        <w:t xml:space="preserve">Has Q3 stabilized?</w:t>
      </w:r>
      <w:r>
        <w:br/>
      </w:r>
      <w:r>
        <w:t xml:space="preserve">Management previously said Q3 would be “significantly weaker” than Q2 and acknowledged that a high-single-digit yield decline was possible under the lower end of full-year guidance. Europe accounts for roughly</w:t>
      </w:r>
      <w:r>
        <w:t xml:space="preserve"> </w:t>
      </w:r>
      <w:r>
        <w:rPr>
          <w:b/>
          <w:bCs/>
        </w:rPr>
        <w:t xml:space="preserve">38% of Q3 deployment</w:t>
      </w:r>
      <w:r>
        <w:t xml:space="preserve">, versus approximately 26% in Q2.</w:t>
      </w:r>
    </w:p>
    <w:p>
      <w:pPr>
        <w:numPr>
          <w:ilvl w:val="0"/>
          <w:numId w:val="1002"/>
        </w:numPr>
      </w:pPr>
      <w:r>
        <w:rPr>
          <w:b/>
          <w:bCs/>
        </w:rPr>
        <w:t xml:space="preserve">Is occupancy recovering without excessive discounting?</w:t>
      </w:r>
      <w:r>
        <w:br/>
      </w:r>
      <w:r>
        <w:t xml:space="preserve">The company previously indicated that about 1.5 percentage points of its full-year yield reduction reflected lower loads. Investors should distinguish between occupancy gains driven by effective marketing and those purchased through aggressive pricing.</w:t>
      </w:r>
    </w:p>
    <w:p>
      <w:pPr>
        <w:numPr>
          <w:ilvl w:val="0"/>
          <w:numId w:val="1002"/>
        </w:numPr>
      </w:pPr>
      <w:r>
        <w:rPr>
          <w:b/>
          <w:bCs/>
        </w:rPr>
        <w:t xml:space="preserve">How are 2027 bookings pacing?</w:t>
      </w:r>
      <w:r>
        <w:br/>
      </w:r>
      <w:r>
        <w:t xml:space="preserve">Management has said the luxury brands—Oceania and Regent—are performing appropriately, while the core Norwegian brand remains the principal problem. Evidence that 2027 is building at a healthier load and rate would be more valuable than a small Q2 earnings beat.</w:t>
      </w:r>
    </w:p>
    <w:p>
      <w:pPr>
        <w:pStyle w:val="FirstParagraph"/>
      </w:pPr>
      <w:r>
        <w:t xml:space="preserve">A favorable update would include improving booking volumes, better alignment between pricing and deployment, and narrowing performance differences between Norwegian and the luxury brands. A vague “green shoots” narrative without booking-curve or pricing detail would be less convincing.</w:t>
      </w:r>
    </w:p>
    <w:bookmarkEnd w:id="11"/>
    <w:bookmarkStart w:id="14" w:name="full-year-guidance-is-the-main-event"/>
    <w:p>
      <w:pPr>
        <w:pStyle w:val="Heading2"/>
      </w:pPr>
      <w:r>
        <w:t xml:space="preserve">Full-year guidance is the main event</w:t>
      </w:r>
    </w:p>
    <w:p>
      <w:pPr>
        <w:pStyle w:val="FirstParagraph"/>
      </w:pPr>
      <w:r>
        <w:t xml:space="preserve">NCLH’s current 2026 outlook is:</w:t>
      </w:r>
    </w:p>
    <w:p>
      <w:pPr>
        <w:pStyle w:val="Compact"/>
        <w:numPr>
          <w:ilvl w:val="0"/>
          <w:numId w:val="1003"/>
        </w:numPr>
      </w:pPr>
      <w:r>
        <w:rPr>
          <w:b/>
          <w:bCs/>
        </w:rPr>
        <w:t xml:space="preserve">Constant-currency net yield:</w:t>
      </w:r>
      <w:r>
        <w:t xml:space="preserve"> </w:t>
      </w:r>
      <w:r>
        <w:t xml:space="preserve">down</w:t>
      </w:r>
      <w:r>
        <w:t xml:space="preserve"> </w:t>
      </w:r>
      <w:r>
        <w:rPr>
          <w:b/>
          <w:bCs/>
        </w:rPr>
        <w:t xml:space="preserve">3% to 5%</w:t>
      </w:r>
    </w:p>
    <w:p>
      <w:pPr>
        <w:pStyle w:val="Compact"/>
        <w:numPr>
          <w:ilvl w:val="0"/>
          <w:numId w:val="1003"/>
        </w:numPr>
      </w:pPr>
      <w:r>
        <w:rPr>
          <w:b/>
          <w:bCs/>
        </w:rPr>
        <w:t xml:space="preserve">Adjusted net cruise cost ex-fuel per capacity day:</w:t>
      </w:r>
      <w:r>
        <w:t xml:space="preserve"> </w:t>
      </w:r>
      <w:r>
        <w:t xml:space="preserve">approximately flat</w:t>
      </w:r>
    </w:p>
    <w:p>
      <w:pPr>
        <w:pStyle w:val="Compact"/>
        <w:numPr>
          <w:ilvl w:val="0"/>
          <w:numId w:val="1003"/>
        </w:numPr>
      </w:pPr>
      <w:r>
        <w:rPr>
          <w:b/>
          <w:bCs/>
        </w:rPr>
        <w:t xml:space="preserve">Adjusted EBITDA:</w:t>
      </w:r>
      <w:r>
        <w:t xml:space="preserve"> </w:t>
      </w:r>
      <w:r>
        <w:rPr>
          <w:b/>
          <w:bCs/>
        </w:rPr>
        <w:t xml:space="preserve">$2.48 billion to $2.64 billion</w:t>
      </w:r>
    </w:p>
    <w:p>
      <w:pPr>
        <w:pStyle w:val="Compact"/>
        <w:numPr>
          <w:ilvl w:val="0"/>
          <w:numId w:val="1003"/>
        </w:numPr>
      </w:pPr>
      <w:r>
        <w:rPr>
          <w:b/>
          <w:bCs/>
        </w:rPr>
        <w:t xml:space="preserve">Adjusted EPS:</w:t>
      </w:r>
      <w:r>
        <w:t xml:space="preserve"> </w:t>
      </w:r>
      <w:r>
        <w:rPr>
          <w:b/>
          <w:bCs/>
        </w:rPr>
        <w:t xml:space="preserve">$1.45 to $1.79</w:t>
      </w:r>
    </w:p>
    <w:p>
      <w:pPr>
        <w:pStyle w:val="Compact"/>
        <w:numPr>
          <w:ilvl w:val="0"/>
          <w:numId w:val="1003"/>
        </w:numPr>
      </w:pPr>
      <w:r>
        <w:rPr>
          <w:b/>
          <w:bCs/>
        </w:rPr>
        <w:t xml:space="preserve">Occupancy:</w:t>
      </w:r>
      <w:r>
        <w:t xml:space="preserve"> </w:t>
      </w:r>
      <w:r>
        <w:t xml:space="preserve">approximately</w:t>
      </w:r>
      <w:r>
        <w:t xml:space="preserve"> </w:t>
      </w:r>
      <w:r>
        <w:rPr>
          <w:b/>
          <w:bCs/>
        </w:rPr>
        <w:t xml:space="preserve">104.2%</w:t>
      </w:r>
    </w:p>
    <w:p>
      <w:pPr>
        <w:pStyle w:val="Compact"/>
        <w:numPr>
          <w:ilvl w:val="0"/>
          <w:numId w:val="1003"/>
        </w:numPr>
      </w:pPr>
      <w:r>
        <w:rPr>
          <w:b/>
          <w:bCs/>
        </w:rPr>
        <w:t xml:space="preserve">Capacity days:</w:t>
      </w:r>
      <w:r>
        <w:t xml:space="preserve"> </w:t>
      </w:r>
      <w:r>
        <w:t xml:space="preserve">approximately</w:t>
      </w:r>
      <w:r>
        <w:t xml:space="preserve"> </w:t>
      </w:r>
      <w:r>
        <w:rPr>
          <w:b/>
          <w:bCs/>
        </w:rPr>
        <w:t xml:space="preserve">26.25 million</w:t>
      </w:r>
    </w:p>
    <w:p>
      <w:pPr>
        <w:pStyle w:val="FirstParagraph"/>
      </w:pPr>
      <w:r>
        <w:t xml:space="preserve">After Q1 actual results and Q2 guidance, the current full-year range implies roughly:</w:t>
      </w:r>
    </w:p>
    <w:p>
      <w:pPr>
        <w:pStyle w:val="Compact"/>
        <w:numPr>
          <w:ilvl w:val="0"/>
          <w:numId w:val="1004"/>
        </w:numPr>
      </w:pPr>
      <w:r>
        <w:rPr>
          <w:b/>
          <w:bCs/>
        </w:rPr>
        <w:t xml:space="preserve">Second-half adjusted EBITDA:</w:t>
      </w:r>
      <w:r>
        <w:t xml:space="preserve"> </w:t>
      </w:r>
      <w:r>
        <w:t xml:space="preserve">$1.32 billion to $1.48 billion</w:t>
      </w:r>
    </w:p>
    <w:p>
      <w:pPr>
        <w:pStyle w:val="Compact"/>
        <w:numPr>
          <w:ilvl w:val="0"/>
          <w:numId w:val="1004"/>
        </w:numPr>
      </w:pPr>
      <w:r>
        <w:rPr>
          <w:b/>
          <w:bCs/>
        </w:rPr>
        <w:t xml:space="preserve">Second-half adjusted EPS:</w:t>
      </w:r>
      <w:r>
        <w:t xml:space="preserve"> </w:t>
      </w:r>
      <w:r>
        <w:t xml:space="preserve">$0.84 to $1.18</w:t>
      </w:r>
    </w:p>
    <w:p>
      <w:pPr>
        <w:pStyle w:val="FirstParagraph"/>
      </w:pPr>
      <w:r>
        <w:t xml:space="preserve">The wide range reflects unusually high uncertainty around Q3 European sailings, the pace of Norwegian’s commercial turnaround, fuel and broader consumer demand.</w:t>
      </w:r>
    </w:p>
    <w:bookmarkStart w:id="12" w:name="what-would-be-encouraging"/>
    <w:p>
      <w:pPr>
        <w:pStyle w:val="Heading3"/>
      </w:pPr>
      <w:r>
        <w:t xml:space="preserve">What would be encouraging</w:t>
      </w:r>
    </w:p>
    <w:p>
      <w:pPr>
        <w:pStyle w:val="Compact"/>
        <w:numPr>
          <w:ilvl w:val="0"/>
          <w:numId w:val="1005"/>
        </w:numPr>
      </w:pPr>
      <w:r>
        <w:t xml:space="preserve">Full-year EBITDA and EPS guidance is maintained.</w:t>
      </w:r>
    </w:p>
    <w:p>
      <w:pPr>
        <w:pStyle w:val="Compact"/>
        <w:numPr>
          <w:ilvl w:val="0"/>
          <w:numId w:val="1005"/>
        </w:numPr>
      </w:pPr>
      <w:r>
        <w:t xml:space="preserve">The net-yield range is maintained or narrowed without relying on a substantially better fourth quarter.</w:t>
      </w:r>
    </w:p>
    <w:p>
      <w:pPr>
        <w:pStyle w:val="Compact"/>
        <w:numPr>
          <w:ilvl w:val="0"/>
          <w:numId w:val="1005"/>
        </w:numPr>
      </w:pPr>
      <w:r>
        <w:t xml:space="preserve">Q3 guidance is no worse than the high-single-digit decline management previously described.</w:t>
      </w:r>
    </w:p>
    <w:p>
      <w:pPr>
        <w:pStyle w:val="Compact"/>
        <w:numPr>
          <w:ilvl w:val="0"/>
          <w:numId w:val="1005"/>
        </w:numPr>
      </w:pPr>
      <w:r>
        <w:t xml:space="preserve">Management reports that recent booking volumes have stabilized or improved.</w:t>
      </w:r>
    </w:p>
    <w:p>
      <w:pPr>
        <w:pStyle w:val="Compact"/>
        <w:numPr>
          <w:ilvl w:val="0"/>
          <w:numId w:val="1005"/>
        </w:numPr>
      </w:pPr>
      <w:r>
        <w:t xml:space="preserve">2027 bookings are closer to the desired curve and not dependent on heavy discounting.</w:t>
      </w:r>
    </w:p>
    <w:bookmarkEnd w:id="12"/>
    <w:bookmarkStart w:id="13" w:name="what-would-be-concerning"/>
    <w:p>
      <w:pPr>
        <w:pStyle w:val="Heading3"/>
      </w:pPr>
      <w:r>
        <w:t xml:space="preserve">What would be concerning</w:t>
      </w:r>
    </w:p>
    <w:p>
      <w:pPr>
        <w:pStyle w:val="Compact"/>
        <w:numPr>
          <w:ilvl w:val="0"/>
          <w:numId w:val="1006"/>
        </w:numPr>
      </w:pPr>
      <w:r>
        <w:t xml:space="preserve">Another reduction to full-year net-yield guidance.</w:t>
      </w:r>
    </w:p>
    <w:p>
      <w:pPr>
        <w:pStyle w:val="Compact"/>
        <w:numPr>
          <w:ilvl w:val="0"/>
          <w:numId w:val="1006"/>
        </w:numPr>
      </w:pPr>
      <w:r>
        <w:t xml:space="preserve">The low end of EBITDA or EPS guidance is cut despite cost savings.</w:t>
      </w:r>
    </w:p>
    <w:p>
      <w:pPr>
        <w:pStyle w:val="Compact"/>
        <w:numPr>
          <w:ilvl w:val="0"/>
          <w:numId w:val="1006"/>
        </w:numPr>
      </w:pPr>
      <w:r>
        <w:t xml:space="preserve">Q3 trends have weakened further since May.</w:t>
      </w:r>
    </w:p>
    <w:p>
      <w:pPr>
        <w:pStyle w:val="Compact"/>
        <w:numPr>
          <w:ilvl w:val="0"/>
          <w:numId w:val="1006"/>
        </w:numPr>
      </w:pPr>
      <w:r>
        <w:t xml:space="preserve">Management relies heavily on an assumed Q4 rebound to preserve annual guidance.</w:t>
      </w:r>
    </w:p>
    <w:p>
      <w:pPr>
        <w:pStyle w:val="Compact"/>
        <w:numPr>
          <w:ilvl w:val="0"/>
          <w:numId w:val="1006"/>
        </w:numPr>
      </w:pPr>
      <w:r>
        <w:t xml:space="preserve">The company cites geopolitics as the primary issue without showing progress on company-specific commercial problems.</w:t>
      </w:r>
    </w:p>
    <w:bookmarkEnd w:id="13"/>
    <w:bookmarkEnd w:id="14"/>
    <w:bookmarkStart w:id="15" w:name="X460107dea8c425760f7e832eaed50edf3b1f40a"/>
    <w:p>
      <w:pPr>
        <w:pStyle w:val="Heading2"/>
      </w:pPr>
      <w:r>
        <w:t xml:space="preserve">Turnaround execution: costs are improving faster than revenue</w:t>
      </w:r>
    </w:p>
    <w:p>
      <w:pPr>
        <w:pStyle w:val="FirstParagraph"/>
      </w:pPr>
      <w:r>
        <w:t xml:space="preserve">New CEO John Chidsey has been direct that Norwegian is not currently performing comparably with peers and that many of its problems are self-inflicted. The identified issues include:</w:t>
      </w:r>
    </w:p>
    <w:p>
      <w:pPr>
        <w:pStyle w:val="Compact"/>
        <w:numPr>
          <w:ilvl w:val="0"/>
          <w:numId w:val="1007"/>
        </w:numPr>
      </w:pPr>
      <w:r>
        <w:t xml:space="preserve">Ineffective and inefficient marketing.</w:t>
      </w:r>
    </w:p>
    <w:p>
      <w:pPr>
        <w:pStyle w:val="Compact"/>
        <w:numPr>
          <w:ilvl w:val="0"/>
          <w:numId w:val="1007"/>
        </w:numPr>
      </w:pPr>
      <w:r>
        <w:t xml:space="preserve">Poor alignment among marketing, sales, deployment and revenue management.</w:t>
      </w:r>
    </w:p>
    <w:p>
      <w:pPr>
        <w:pStyle w:val="Compact"/>
        <w:numPr>
          <w:ilvl w:val="0"/>
          <w:numId w:val="1007"/>
        </w:numPr>
      </w:pPr>
      <w:r>
        <w:t xml:space="preserve">Entering 2026 behind the optimal booking curve.</w:t>
      </w:r>
    </w:p>
    <w:p>
      <w:pPr>
        <w:pStyle w:val="Compact"/>
        <w:numPr>
          <w:ilvl w:val="0"/>
          <w:numId w:val="1007"/>
        </w:numPr>
      </w:pPr>
      <w:r>
        <w:t xml:space="preserve">Inadequate demand generation for increased Caribbean capacity.</w:t>
      </w:r>
    </w:p>
    <w:p>
      <w:pPr>
        <w:pStyle w:val="Compact"/>
        <w:numPr>
          <w:ilvl w:val="0"/>
          <w:numId w:val="1007"/>
        </w:numPr>
      </w:pPr>
      <w:r>
        <w:t xml:space="preserve">An underdeveloped revenue-management organization and a newly implemented system that still requires calibration.</w:t>
      </w:r>
    </w:p>
    <w:p>
      <w:pPr>
        <w:pStyle w:val="Compact"/>
        <w:numPr>
          <w:ilvl w:val="0"/>
          <w:numId w:val="1007"/>
        </w:numPr>
      </w:pPr>
      <w:r>
        <w:t xml:space="preserve">Historically high marketing expenditure relative to competitors without commensurate returns.</w:t>
      </w:r>
    </w:p>
    <w:p>
      <w:pPr>
        <w:pStyle w:val="FirstParagraph"/>
      </w:pPr>
      <w:r>
        <w:t xml:space="preserve">Management has announced approximately</w:t>
      </w:r>
      <w:r>
        <w:t xml:space="preserve"> </w:t>
      </w:r>
      <w:r>
        <w:rPr>
          <w:b/>
          <w:bCs/>
        </w:rPr>
        <w:t xml:space="preserve">$125 million of annualized SG&amp;A savings</w:t>
      </w:r>
      <w:r>
        <w:t xml:space="preserve">, including organizational simplification, lower marketing expenditure and a roughly 15% annualized reduction in salary and benefit costs. Approximately two-thirds of the savings were expected to benefit 2026.</w:t>
      </w:r>
    </w:p>
    <w:p>
      <w:pPr>
        <w:pStyle w:val="BodyText"/>
      </w:pPr>
      <w:r>
        <w:t xml:space="preserve">Investors should look for:</w:t>
      </w:r>
    </w:p>
    <w:p>
      <w:pPr>
        <w:pStyle w:val="Compact"/>
        <w:numPr>
          <w:ilvl w:val="0"/>
          <w:numId w:val="1008"/>
        </w:numPr>
      </w:pPr>
      <w:r>
        <w:t xml:space="preserve">Realized savings through June and the expected Q3/Q4 cadence.</w:t>
      </w:r>
    </w:p>
    <w:p>
      <w:pPr>
        <w:pStyle w:val="Compact"/>
        <w:numPr>
          <w:ilvl w:val="0"/>
          <w:numId w:val="1008"/>
        </w:numPr>
      </w:pPr>
      <w:r>
        <w:t xml:space="preserve">Whether the $125 million target has changed.</w:t>
      </w:r>
    </w:p>
    <w:p>
      <w:pPr>
        <w:pStyle w:val="Compact"/>
        <w:numPr>
          <w:ilvl w:val="0"/>
          <w:numId w:val="1008"/>
        </w:numPr>
      </w:pPr>
      <w:r>
        <w:t xml:space="preserve">Additional restructuring actions.</w:t>
      </w:r>
    </w:p>
    <w:p>
      <w:pPr>
        <w:pStyle w:val="Compact"/>
        <w:numPr>
          <w:ilvl w:val="0"/>
          <w:numId w:val="1008"/>
        </w:numPr>
      </w:pPr>
      <w:r>
        <w:t xml:space="preserve">Evidence that marketing cuts are eliminating inefficient spending rather than weakening demand generation.</w:t>
      </w:r>
    </w:p>
    <w:p>
      <w:pPr>
        <w:pStyle w:val="Compact"/>
        <w:numPr>
          <w:ilvl w:val="0"/>
          <w:numId w:val="1008"/>
        </w:numPr>
      </w:pPr>
      <w:r>
        <w:t xml:space="preserve">Updated cost guidance after higher crew airfare, logistics and fuel expenses.</w:t>
      </w:r>
    </w:p>
    <w:p>
      <w:pPr>
        <w:pStyle w:val="FirstParagraph"/>
      </w:pPr>
      <w:r>
        <w:t xml:space="preserve">A cost beat would help defend earnings, but it would not resolve the investment debate. The larger long-term opportunity—and risk—is revenue execution.</w:t>
      </w:r>
    </w:p>
    <w:bookmarkEnd w:id="15"/>
    <w:bookmarkStart w:id="16" w:name="X9d247c9d167e451fe48fa5576005cb1010dfbc3"/>
    <w:p>
      <w:pPr>
        <w:pStyle w:val="Heading2"/>
      </w:pPr>
      <w:r>
        <w:t xml:space="preserve">Great Stirrup Cay: increasingly important to the Q4 narrative</w:t>
      </w:r>
    </w:p>
    <w:p>
      <w:pPr>
        <w:pStyle w:val="FirstParagraph"/>
      </w:pPr>
      <w:r>
        <w:t xml:space="preserve">The Great Tides Waterpark at Great Stirrup Cay was expected to open by the end of Q3. Management views the development as both:</w:t>
      </w:r>
    </w:p>
    <w:p>
      <w:pPr>
        <w:pStyle w:val="Compact"/>
        <w:numPr>
          <w:ilvl w:val="0"/>
          <w:numId w:val="1009"/>
        </w:numPr>
      </w:pPr>
      <w:r>
        <w:t xml:space="preserve">An onboard-and-destination revenue opportunity; and</w:t>
      </w:r>
    </w:p>
    <w:p>
      <w:pPr>
        <w:pStyle w:val="Compact"/>
        <w:numPr>
          <w:ilvl w:val="0"/>
          <w:numId w:val="1009"/>
        </w:numPr>
      </w:pPr>
      <w:r>
        <w:t xml:space="preserve">A demand generator that can support higher itinerary pricing.</w:t>
      </w:r>
    </w:p>
    <w:p>
      <w:pPr>
        <w:pStyle w:val="FirstParagraph"/>
      </w:pPr>
      <w:r>
        <w:t xml:space="preserve">Phase-one improvements have reportedly increased guest satisfaction, but the principal monetization features had not yet opened as of the Q1 call.</w:t>
      </w:r>
    </w:p>
    <w:p>
      <w:pPr>
        <w:pStyle w:val="BodyText"/>
      </w:pPr>
      <w:r>
        <w:t xml:space="preserve">Investors should seek confirmation of:</w:t>
      </w:r>
    </w:p>
    <w:p>
      <w:pPr>
        <w:pStyle w:val="Compact"/>
        <w:numPr>
          <w:ilvl w:val="0"/>
          <w:numId w:val="1010"/>
        </w:numPr>
      </w:pPr>
      <w:r>
        <w:t xml:space="preserve">The opening date and construction status.</w:t>
      </w:r>
    </w:p>
    <w:p>
      <w:pPr>
        <w:pStyle w:val="Compact"/>
        <w:numPr>
          <w:ilvl w:val="0"/>
          <w:numId w:val="1010"/>
        </w:numPr>
      </w:pPr>
      <w:r>
        <w:t xml:space="preserve">Any changes to project cost.</w:t>
      </w:r>
    </w:p>
    <w:p>
      <w:pPr>
        <w:pStyle w:val="Compact"/>
        <w:numPr>
          <w:ilvl w:val="0"/>
          <w:numId w:val="1010"/>
        </w:numPr>
      </w:pPr>
      <w:r>
        <w:t xml:space="preserve">Early booking or pricing premiums for itineraries visiting the island.</w:t>
      </w:r>
    </w:p>
    <w:p>
      <w:pPr>
        <w:pStyle w:val="Compact"/>
        <w:numPr>
          <w:ilvl w:val="0"/>
          <w:numId w:val="1010"/>
        </w:numPr>
      </w:pPr>
      <w:r>
        <w:t xml:space="preserve">Expected Q4 and 2027 financial contributions.</w:t>
      </w:r>
    </w:p>
    <w:p>
      <w:pPr>
        <w:pStyle w:val="Compact"/>
        <w:numPr>
          <w:ilvl w:val="0"/>
          <w:numId w:val="1010"/>
        </w:numPr>
      </w:pPr>
      <w:r>
        <w:t xml:space="preserve">Whether the destination is improving demand for Norwegian’s enlarged Caribbean deployment.</w:t>
      </w:r>
    </w:p>
    <w:p>
      <w:pPr>
        <w:pStyle w:val="FirstParagraph"/>
      </w:pPr>
      <w:r>
        <w:t xml:space="preserve">A delay would matter because management has partly tied the expected sequential improvement from Q3 to Q4 to the waterpark’s opening and related marketing campaign.</w:t>
      </w:r>
    </w:p>
    <w:bookmarkEnd w:id="16"/>
    <w:bookmarkStart w:id="17" w:name="X4c1e08c548845ce7a57a23c834f463800002754"/>
    <w:p>
      <w:pPr>
        <w:pStyle w:val="Heading2"/>
      </w:pPr>
      <w:r>
        <w:t xml:space="preserve">Fuel and geopolitics remain genuine headwinds</w:t>
      </w:r>
    </w:p>
    <w:p>
      <w:pPr>
        <w:pStyle w:val="FirstParagraph"/>
      </w:pPr>
      <w:r>
        <w:t xml:space="preserve">At the prior update, NCLH assumed Q2 fuel expense based on approximately</w:t>
      </w:r>
      <w:r>
        <w:t xml:space="preserve"> </w:t>
      </w:r>
      <w:r>
        <w:rPr>
          <w:b/>
          <w:bCs/>
        </w:rPr>
        <w:t xml:space="preserve">$860 per metric ton</w:t>
      </w:r>
      <w:r>
        <w:t xml:space="preserve">, versus $651 actually incurred in Q1. The company had hedged approximately 51% of projected 2026 consumption at an average blended hedge price of $534 per metric ton.</w:t>
      </w:r>
    </w:p>
    <w:p>
      <w:pPr>
        <w:pStyle w:val="BodyText"/>
      </w:pPr>
      <w:r>
        <w:t xml:space="preserve">The geopolitical situation has also increased:</w:t>
      </w:r>
    </w:p>
    <w:p>
      <w:pPr>
        <w:pStyle w:val="Compact"/>
        <w:numPr>
          <w:ilvl w:val="0"/>
          <w:numId w:val="1011"/>
        </w:numPr>
      </w:pPr>
      <w:r>
        <w:t xml:space="preserve">Crew transportation and airfare costs.</w:t>
      </w:r>
    </w:p>
    <w:p>
      <w:pPr>
        <w:pStyle w:val="Compact"/>
        <w:numPr>
          <w:ilvl w:val="0"/>
          <w:numId w:val="1011"/>
        </w:numPr>
      </w:pPr>
      <w:r>
        <w:t xml:space="preserve">Logistics expenses.</w:t>
      </w:r>
    </w:p>
    <w:p>
      <w:pPr>
        <w:pStyle w:val="Compact"/>
        <w:numPr>
          <w:ilvl w:val="0"/>
          <w:numId w:val="1011"/>
        </w:numPr>
      </w:pPr>
      <w:r>
        <w:t xml:space="preserve">Consumer hesitation toward European itineraries.</w:t>
      </w:r>
    </w:p>
    <w:p>
      <w:pPr>
        <w:pStyle w:val="Compact"/>
        <w:numPr>
          <w:ilvl w:val="0"/>
          <w:numId w:val="1011"/>
        </w:numPr>
      </w:pPr>
      <w:r>
        <w:t xml:space="preserve">Risk to Red Sea and Middle East routing.</w:t>
      </w:r>
    </w:p>
    <w:p>
      <w:pPr>
        <w:pStyle w:val="Compact"/>
        <w:numPr>
          <w:ilvl w:val="0"/>
          <w:numId w:val="1011"/>
        </w:numPr>
      </w:pPr>
      <w:r>
        <w:t xml:space="preserve">General travel uncertainty.</w:t>
      </w:r>
    </w:p>
    <w:p>
      <w:pPr>
        <w:pStyle w:val="FirstParagraph"/>
      </w:pPr>
      <w:r>
        <w:t xml:space="preserve">These pressures are real, but peers have demonstrated greater commercial resilience. The crucial distinction is whether NCLH’s incremental weakness is still primarily the result of its poor starting booking position and internal execution.</w:t>
      </w:r>
    </w:p>
    <w:bookmarkEnd w:id="17"/>
    <w:bookmarkStart w:id="18" w:name="X98ede083771275452390f8295bc62fa845626b4"/>
    <w:p>
      <w:pPr>
        <w:pStyle w:val="Heading2"/>
      </w:pPr>
      <w:r>
        <w:t xml:space="preserve">Balance sheet: little room for another prolonged earnings setback</w:t>
      </w:r>
    </w:p>
    <w:p>
      <w:pPr>
        <w:pStyle w:val="FirstParagraph"/>
      </w:pPr>
      <w:r>
        <w:t xml:space="preserve">At March 31, NCLH had:</w:t>
      </w:r>
    </w:p>
    <w:p>
      <w:pPr>
        <w:pStyle w:val="Compact"/>
        <w:numPr>
          <w:ilvl w:val="0"/>
          <w:numId w:val="1012"/>
        </w:numPr>
      </w:pPr>
      <w:r>
        <w:rPr>
          <w:b/>
          <w:bCs/>
        </w:rPr>
        <w:t xml:space="preserve">Total debt:</w:t>
      </w:r>
      <w:r>
        <w:t xml:space="preserve"> </w:t>
      </w:r>
      <w:r>
        <w:t xml:space="preserve">approximately $15.2 billion</w:t>
      </w:r>
    </w:p>
    <w:p>
      <w:pPr>
        <w:pStyle w:val="Compact"/>
        <w:numPr>
          <w:ilvl w:val="0"/>
          <w:numId w:val="1012"/>
        </w:numPr>
      </w:pPr>
      <w:r>
        <w:rPr>
          <w:b/>
          <w:bCs/>
        </w:rPr>
        <w:t xml:space="preserve">Net debt:</w:t>
      </w:r>
      <w:r>
        <w:t xml:space="preserve"> </w:t>
      </w:r>
      <w:r>
        <w:t xml:space="preserve">approximately $15.0 billion</w:t>
      </w:r>
    </w:p>
    <w:p>
      <w:pPr>
        <w:pStyle w:val="Compact"/>
        <w:numPr>
          <w:ilvl w:val="0"/>
          <w:numId w:val="1012"/>
        </w:numPr>
      </w:pPr>
      <w:r>
        <w:rPr>
          <w:b/>
          <w:bCs/>
        </w:rPr>
        <w:t xml:space="preserve">Net leverage:</w:t>
      </w:r>
      <w:r>
        <w:t xml:space="preserve"> </w:t>
      </w:r>
      <w:r>
        <w:rPr>
          <w:b/>
          <w:bCs/>
        </w:rPr>
        <w:t xml:space="preserve">5.3x</w:t>
      </w:r>
    </w:p>
    <w:p>
      <w:pPr>
        <w:pStyle w:val="Compact"/>
        <w:numPr>
          <w:ilvl w:val="0"/>
          <w:numId w:val="1012"/>
        </w:numPr>
      </w:pPr>
      <w:r>
        <w:rPr>
          <w:b/>
          <w:bCs/>
        </w:rPr>
        <w:t xml:space="preserve">Liquidity:</w:t>
      </w:r>
      <w:r>
        <w:t xml:space="preserve"> </w:t>
      </w:r>
      <w:r>
        <w:t xml:space="preserve">approximately $1.6 billion</w:t>
      </w:r>
    </w:p>
    <w:p>
      <w:pPr>
        <w:pStyle w:val="Compact"/>
        <w:numPr>
          <w:ilvl w:val="0"/>
          <w:numId w:val="1012"/>
        </w:numPr>
      </w:pPr>
      <w:r>
        <w:rPr>
          <w:b/>
          <w:bCs/>
        </w:rPr>
        <w:t xml:space="preserve">Cash:</w:t>
      </w:r>
      <w:r>
        <w:t xml:space="preserve"> </w:t>
      </w:r>
      <w:r>
        <w:t xml:space="preserve">approximately $185 million</w:t>
      </w:r>
    </w:p>
    <w:p>
      <w:pPr>
        <w:pStyle w:val="FirstParagraph"/>
      </w:pPr>
      <w:r>
        <w:t xml:space="preserve">Following the May guidance reduction, management expected year-end leverage to finish in the</w:t>
      </w:r>
      <w:r>
        <w:t xml:space="preserve"> </w:t>
      </w:r>
      <w:r>
        <w:rPr>
          <w:b/>
          <w:bCs/>
        </w:rPr>
        <w:t xml:space="preserve">high-5x area</w:t>
      </w:r>
      <w:r>
        <w:t xml:space="preserve">, rather than improve during 2026.</w:t>
      </w:r>
    </w:p>
    <w:p>
      <w:pPr>
        <w:pStyle w:val="BodyText"/>
      </w:pPr>
      <w:r>
        <w:t xml:space="preserve">NCLH also remains in a capital-intensive investment cycle. Full-year gross newbuild and growth capital spending was projected at approximately</w:t>
      </w:r>
      <w:r>
        <w:t xml:space="preserve"> </w:t>
      </w:r>
      <w:r>
        <w:rPr>
          <w:b/>
          <w:bCs/>
        </w:rPr>
        <w:t xml:space="preserve">$2.9 billion</w:t>
      </w:r>
      <w:r>
        <w:t xml:space="preserve">, with about $1.3 billion required net of export-credit financing, plus roughly $540 million of other capital expenditures.</w:t>
      </w:r>
    </w:p>
    <w:p>
      <w:pPr>
        <w:pStyle w:val="BodyText"/>
      </w:pPr>
      <w:r>
        <w:t xml:space="preserve">The company does not face its largest debt maturity wall immediately, but the combination of high leverage, substantial capital commitments and below-peer revenue performance magnifies earnings risk. The report should include updated leverage expectations, liquidity and any refinancing plans for the 2027 exchangeable notes.</w:t>
      </w:r>
    </w:p>
    <w:bookmarkEnd w:id="18"/>
    <w:bookmarkStart w:id="19" w:name="stock-setup"/>
    <w:p>
      <w:pPr>
        <w:pStyle w:val="Heading2"/>
      </w:pPr>
      <w:r>
        <w:t xml:space="preserve">Stock setup</w:t>
      </w:r>
    </w:p>
    <w:p>
      <w:pPr>
        <w:pStyle w:val="FirstParagraph"/>
      </w:pPr>
      <w:r>
        <w:t xml:space="preserve">NCLH closed July 29 at approximately</w:t>
      </w:r>
      <w:r>
        <w:t xml:space="preserve"> </w:t>
      </w:r>
      <w:r>
        <w:rPr>
          <w:b/>
          <w:bCs/>
        </w:rPr>
        <w:t xml:space="preserve">$20.86</w:t>
      </w:r>
      <w:r>
        <w:t xml:space="preserve">. The shares are down roughly 8% year to date but have recovered approximately 11% from just before the May earnings report.</w:t>
      </w:r>
    </w:p>
    <w:p>
      <w:pPr>
        <w:pStyle w:val="BodyText"/>
      </w:pPr>
      <w:r>
        <w:t xml:space="preserve">That suggests expectations are no longer at the post-Q1 low, but the stock still reflects considerable skepticism relative to Royal Caribbean. A modest Q2 beat alone may not be enough: investors will likely require a credible second-half outlook and evidence that another guidance reduction is not imminent.</w:t>
      </w:r>
    </w:p>
    <w:bookmarkEnd w:id="19"/>
    <w:bookmarkStart w:id="23" w:name="bull-base-and-bear-interpretations"/>
    <w:p>
      <w:pPr>
        <w:pStyle w:val="Heading2"/>
      </w:pPr>
      <w:r>
        <w:t xml:space="preserve">Bull, base and bear interpretations</w:t>
      </w:r>
    </w:p>
    <w:bookmarkStart w:id="20" w:name="bull-case"/>
    <w:p>
      <w:pPr>
        <w:pStyle w:val="Heading3"/>
      </w:pPr>
      <w:r>
        <w:t xml:space="preserve">Bull case</w:t>
      </w:r>
    </w:p>
    <w:p>
      <w:pPr>
        <w:pStyle w:val="Compact"/>
        <w:numPr>
          <w:ilvl w:val="0"/>
          <w:numId w:val="1013"/>
        </w:numPr>
      </w:pPr>
      <w:r>
        <w:t xml:space="preserve">Q2 EBITDA and EPS exceed guidance.</w:t>
      </w:r>
    </w:p>
    <w:p>
      <w:pPr>
        <w:pStyle w:val="Compact"/>
        <w:numPr>
          <w:ilvl w:val="0"/>
          <w:numId w:val="1013"/>
        </w:numPr>
      </w:pPr>
      <w:r>
        <w:t xml:space="preserve">Net yield is better than the guided 3.6% decline.</w:t>
      </w:r>
    </w:p>
    <w:p>
      <w:pPr>
        <w:pStyle w:val="Compact"/>
        <w:numPr>
          <w:ilvl w:val="0"/>
          <w:numId w:val="1013"/>
        </w:numPr>
      </w:pPr>
      <w:r>
        <w:t xml:space="preserve">Q3 booking trends have stabilized.</w:t>
      </w:r>
    </w:p>
    <w:p>
      <w:pPr>
        <w:pStyle w:val="Compact"/>
        <w:numPr>
          <w:ilvl w:val="0"/>
          <w:numId w:val="1013"/>
        </w:numPr>
      </w:pPr>
      <w:r>
        <w:t xml:space="preserve">Full-year guidance is maintained or narrowed toward the upper half.</w:t>
      </w:r>
    </w:p>
    <w:p>
      <w:pPr>
        <w:pStyle w:val="Compact"/>
        <w:numPr>
          <w:ilvl w:val="0"/>
          <w:numId w:val="1013"/>
        </w:numPr>
      </w:pPr>
      <w:r>
        <w:t xml:space="preserve">Cost savings exceed plan without harming demand generation.</w:t>
      </w:r>
    </w:p>
    <w:p>
      <w:pPr>
        <w:pStyle w:val="Compact"/>
        <w:numPr>
          <w:ilvl w:val="0"/>
          <w:numId w:val="1013"/>
        </w:numPr>
      </w:pPr>
      <w:r>
        <w:t xml:space="preserve">Great Tides remains on schedule and is supporting stronger Q4/2027 bookings.</w:t>
      </w:r>
    </w:p>
    <w:p>
      <w:pPr>
        <w:pStyle w:val="Compact"/>
        <w:numPr>
          <w:ilvl w:val="0"/>
          <w:numId w:val="1013"/>
        </w:numPr>
      </w:pPr>
      <w:r>
        <w:t xml:space="preserve">Early 2027 indicators show Norwegian rebuilding its booking curve.</w:t>
      </w:r>
    </w:p>
    <w:p>
      <w:pPr>
        <w:pStyle w:val="FirstParagraph"/>
      </w:pPr>
      <w:r>
        <w:t xml:space="preserve">This would support the thesis that 2026 is a trough year and that structural cost savings plus revenue recovery can produce meaningful earnings growth in 2027–2028.</w:t>
      </w:r>
    </w:p>
    <w:bookmarkEnd w:id="20"/>
    <w:bookmarkStart w:id="21" w:name="base-case"/>
    <w:p>
      <w:pPr>
        <w:pStyle w:val="Heading3"/>
      </w:pPr>
      <w:r>
        <w:t xml:space="preserve">Base case</w:t>
      </w:r>
    </w:p>
    <w:p>
      <w:pPr>
        <w:pStyle w:val="Compact"/>
        <w:numPr>
          <w:ilvl w:val="0"/>
          <w:numId w:val="1014"/>
        </w:numPr>
      </w:pPr>
      <w:r>
        <w:t xml:space="preserve">Q2 is roughly in line.</w:t>
      </w:r>
    </w:p>
    <w:p>
      <w:pPr>
        <w:pStyle w:val="Compact"/>
        <w:numPr>
          <w:ilvl w:val="0"/>
          <w:numId w:val="1014"/>
        </w:numPr>
      </w:pPr>
      <w:r>
        <w:t xml:space="preserve">Full-year guidance is reiterated, but management remains cautious.</w:t>
      </w:r>
    </w:p>
    <w:p>
      <w:pPr>
        <w:pStyle w:val="Compact"/>
        <w:numPr>
          <w:ilvl w:val="0"/>
          <w:numId w:val="1014"/>
        </w:numPr>
      </w:pPr>
      <w:r>
        <w:t xml:space="preserve">Q3 is confirmed as the weakest quarter.</w:t>
      </w:r>
    </w:p>
    <w:p>
      <w:pPr>
        <w:pStyle w:val="Compact"/>
        <w:numPr>
          <w:ilvl w:val="0"/>
          <w:numId w:val="1014"/>
        </w:numPr>
      </w:pPr>
      <w:r>
        <w:t xml:space="preserve">Cost execution offsets some—but not all—revenue and fuel pressure.</w:t>
      </w:r>
    </w:p>
    <w:p>
      <w:pPr>
        <w:pStyle w:val="Compact"/>
        <w:numPr>
          <w:ilvl w:val="0"/>
          <w:numId w:val="1014"/>
        </w:numPr>
      </w:pPr>
      <w:r>
        <w:t xml:space="preserve">2027 commentary is directionally better but lacks hard evidence.</w:t>
      </w:r>
    </w:p>
    <w:p>
      <w:pPr>
        <w:pStyle w:val="FirstParagraph"/>
      </w:pPr>
      <w:r>
        <w:t xml:space="preserve">The stock reaction would likely depend on whether investors view the lower half of guidance as adequately de-risked.</w:t>
      </w:r>
    </w:p>
    <w:bookmarkEnd w:id="21"/>
    <w:bookmarkStart w:id="22" w:name="bear-case"/>
    <w:p>
      <w:pPr>
        <w:pStyle w:val="Heading3"/>
      </w:pPr>
      <w:r>
        <w:t xml:space="preserve">Bear case</w:t>
      </w:r>
    </w:p>
    <w:p>
      <w:pPr>
        <w:pStyle w:val="Compact"/>
        <w:numPr>
          <w:ilvl w:val="0"/>
          <w:numId w:val="1015"/>
        </w:numPr>
      </w:pPr>
      <w:r>
        <w:t xml:space="preserve">Q2 yield and EBITDA miss.</w:t>
      </w:r>
    </w:p>
    <w:p>
      <w:pPr>
        <w:pStyle w:val="Compact"/>
        <w:numPr>
          <w:ilvl w:val="0"/>
          <w:numId w:val="1015"/>
        </w:numPr>
      </w:pPr>
      <w:r>
        <w:t xml:space="preserve">Full-year EBITDA/EPS guidance is cut again.</w:t>
      </w:r>
    </w:p>
    <w:p>
      <w:pPr>
        <w:pStyle w:val="Compact"/>
        <w:numPr>
          <w:ilvl w:val="0"/>
          <w:numId w:val="1015"/>
        </w:numPr>
      </w:pPr>
      <w:r>
        <w:t xml:space="preserve">Q3 yield deterioration exceeds prior expectations.</w:t>
      </w:r>
    </w:p>
    <w:p>
      <w:pPr>
        <w:pStyle w:val="Compact"/>
        <w:numPr>
          <w:ilvl w:val="0"/>
          <w:numId w:val="1015"/>
        </w:numPr>
      </w:pPr>
      <w:r>
        <w:t xml:space="preserve">2027 remains behind the desired booking curve.</w:t>
      </w:r>
    </w:p>
    <w:p>
      <w:pPr>
        <w:pStyle w:val="Compact"/>
        <w:numPr>
          <w:ilvl w:val="0"/>
          <w:numId w:val="1015"/>
        </w:numPr>
      </w:pPr>
      <w:r>
        <w:t xml:space="preserve">Great Stirrup Cay is delayed.</w:t>
      </w:r>
    </w:p>
    <w:p>
      <w:pPr>
        <w:pStyle w:val="Compact"/>
        <w:numPr>
          <w:ilvl w:val="0"/>
          <w:numId w:val="1015"/>
        </w:numPr>
      </w:pPr>
      <w:r>
        <w:t xml:space="preserve">Year-end leverage moves above the previously indicated high-5x range.</w:t>
      </w:r>
    </w:p>
    <w:p>
      <w:pPr>
        <w:pStyle w:val="FirstParagraph"/>
      </w:pPr>
      <w:r>
        <w:t xml:space="preserve">That outcome would raise concerns that the turnaround will take longer, increase balance-sheet pressure and widen NCLH’s already significant performance gap versus peers.</w:t>
      </w:r>
    </w:p>
    <w:bookmarkEnd w:id="22"/>
    <w:bookmarkEnd w:id="23"/>
    <w:bookmarkStart w:id="24" w:name="bottom-line"/>
    <w:p>
      <w:pPr>
        <w:pStyle w:val="Heading2"/>
      </w:pPr>
      <w:r>
        <w:t xml:space="preserve">Bottom line</w:t>
      </w:r>
    </w:p>
    <w:p>
      <w:pPr>
        <w:pStyle w:val="FirstParagraph"/>
      </w:pPr>
      <w:r>
        <w:t xml:space="preserve">The key question is</w:t>
      </w:r>
      <w:r>
        <w:t xml:space="preserve"> </w:t>
      </w:r>
      <w:r>
        <w:rPr>
          <w:b/>
          <w:bCs/>
        </w:rPr>
        <w:t xml:space="preserve">not whether cruise demand is healthy in general</w:t>
      </w:r>
      <w:r>
        <w:t xml:space="preserve">—recent peer results indicate that it is. The question is whether NCLH can stop losing ground because of company-specific commercial execution.</w:t>
      </w:r>
    </w:p>
    <w:p>
      <w:pPr>
        <w:pStyle w:val="BodyText"/>
      </w:pPr>
      <w:r>
        <w:t xml:space="preserve">For tomorrow’s report, the hierarchy of importance is:</w:t>
      </w:r>
    </w:p>
    <w:p>
      <w:pPr>
        <w:pStyle w:val="Compact"/>
        <w:numPr>
          <w:ilvl w:val="0"/>
          <w:numId w:val="1016"/>
        </w:numPr>
      </w:pPr>
      <w:r>
        <w:rPr>
          <w:b/>
          <w:bCs/>
        </w:rPr>
        <w:t xml:space="preserve">Full-year guidance and Q3 net-yield expectations</w:t>
      </w:r>
    </w:p>
    <w:p>
      <w:pPr>
        <w:pStyle w:val="Compact"/>
        <w:numPr>
          <w:ilvl w:val="0"/>
          <w:numId w:val="1016"/>
        </w:numPr>
      </w:pPr>
      <w:r>
        <w:rPr>
          <w:b/>
          <w:bCs/>
        </w:rPr>
        <w:t xml:space="preserve">Current booking trends and the 2027 booking curve</w:t>
      </w:r>
    </w:p>
    <w:p>
      <w:pPr>
        <w:pStyle w:val="Compact"/>
        <w:numPr>
          <w:ilvl w:val="0"/>
          <w:numId w:val="1016"/>
        </w:numPr>
      </w:pPr>
      <w:r>
        <w:rPr>
          <w:b/>
          <w:bCs/>
        </w:rPr>
        <w:t xml:space="preserve">Q2 net yield and occupancy</w:t>
      </w:r>
    </w:p>
    <w:p>
      <w:pPr>
        <w:pStyle w:val="Compact"/>
        <w:numPr>
          <w:ilvl w:val="0"/>
          <w:numId w:val="1016"/>
        </w:numPr>
      </w:pPr>
      <w:r>
        <w:rPr>
          <w:b/>
          <w:bCs/>
        </w:rPr>
        <w:t xml:space="preserve">Progress on the $125 million cost program</w:t>
      </w:r>
    </w:p>
    <w:p>
      <w:pPr>
        <w:pStyle w:val="Compact"/>
        <w:numPr>
          <w:ilvl w:val="0"/>
          <w:numId w:val="1016"/>
        </w:numPr>
      </w:pPr>
      <w:r>
        <w:rPr>
          <w:b/>
          <w:bCs/>
        </w:rPr>
        <w:t xml:space="preserve">Great Stirrup Cay timing and financial contribution</w:t>
      </w:r>
    </w:p>
    <w:p>
      <w:pPr>
        <w:pStyle w:val="Compact"/>
        <w:numPr>
          <w:ilvl w:val="0"/>
          <w:numId w:val="1016"/>
        </w:numPr>
      </w:pPr>
      <w:r>
        <w:rPr>
          <w:b/>
          <w:bCs/>
        </w:rPr>
        <w:t xml:space="preserve">Leverage and liquidity</w:t>
      </w:r>
    </w:p>
    <w:p>
      <w:pPr>
        <w:pStyle w:val="Compact"/>
        <w:numPr>
          <w:ilvl w:val="0"/>
          <w:numId w:val="1016"/>
        </w:numPr>
      </w:pPr>
      <w:r>
        <w:rPr>
          <w:b/>
          <w:bCs/>
        </w:rPr>
        <w:t xml:space="preserve">Reported Q2 EPS</w:t>
      </w:r>
    </w:p>
    <w:p>
      <w:pPr>
        <w:pStyle w:val="FirstParagraph"/>
      </w:pPr>
      <w:r>
        <w:t xml:space="preserve">A clean Q2 beat combined with maintained guidance would be constructive. The stronger signal, however, would be specific evidence that Norwegian’s bookings are stabilizing and that management can rebuild occupancy and pricing without sacrificing either through excessive discounting.</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2026-07-29T18:03:45Z</dcterms:created>
  <dcterms:modified xsi:type="dcterms:W3CDTF">2026-07-29T18:03:45Z</dcterms:modified>
</cp:coreProperties>
</file>

<file path=docProps/custom.xml><?xml version="1.0" encoding="utf-8"?>
<Properties xmlns="http://schemas.openxmlformats.org/officeDocument/2006/custom-properties" xmlns:vt="http://schemas.openxmlformats.org/officeDocument/2006/docPropsVTypes"/>
</file>