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nclh-2q26-earnings-preview"/>
    <w:p>
      <w:pPr>
        <w:pStyle w:val="Heading1"/>
      </w:pPr>
      <w:r>
        <w:t xml:space="preserve">NCLH 2Q26 Earnings Preview</w:t>
      </w:r>
    </w:p>
    <w:p>
      <w:pPr>
        <w:pStyle w:val="FirstParagraph"/>
      </w:pPr>
      <w:r>
        <w:rPr>
          <w:b/>
          <w:bCs/>
        </w:rPr>
        <w:t xml:space="preserve">Report date:</w:t>
      </w:r>
      <w:r>
        <w:t xml:space="preserve"> </w:t>
      </w:r>
      <w:r>
        <w:t xml:space="preserve">Thursday, July 30, 2026, before market open</w:t>
      </w:r>
      <w:r>
        <w:br/>
      </w:r>
      <w:r>
        <w:rPr>
          <w:b/>
          <w:bCs/>
        </w:rPr>
        <w:t xml:space="preserve">Event:</w:t>
      </w:r>
      <w:r>
        <w:t xml:space="preserve"> </w:t>
      </w:r>
      <w:r>
        <w:t xml:space="preserve">2026Q2 Earnings Call</w:t>
      </w:r>
      <w:r>
        <w:br/>
      </w:r>
      <w:r>
        <w:rPr>
          <w:b/>
          <w:bCs/>
        </w:rPr>
        <w:t xml:space="preserve">Ticker:</w:t>
      </w:r>
      <w:r>
        <w:t xml:space="preserve"> </w:t>
      </w:r>
      <w:r>
        <w:t xml:space="preserve">NYSE: NCLH</w:t>
      </w:r>
    </w:p>
    <w:bookmarkStart w:id="9" w:name="bottom-line"/>
    <w:p>
      <w:pPr>
        <w:pStyle w:val="Heading2"/>
      </w:pPr>
      <w:r>
        <w:t xml:space="preserve">Bottom line</w:t>
      </w:r>
    </w:p>
    <w:p>
      <w:pPr>
        <w:pStyle w:val="FirstParagraph"/>
      </w:pPr>
      <w:r>
        <w:t xml:space="preserve">NCLH’s second-quarter print is likely to be less about whether it meets its explicitly issued quarterly targets and more about whether management can establish that the business has</w:t>
      </w:r>
      <w:r>
        <w:t xml:space="preserve"> </w:t>
      </w:r>
      <w:r>
        <w:rPr>
          <w:b/>
          <w:bCs/>
        </w:rPr>
        <w:t xml:space="preserve">stopped deteriorating commercially</w:t>
      </w:r>
      <w:r>
        <w:t xml:space="preserve">. The central issue is not industry demand: recent peer results—especially Royal Caribbean’s strong close-in demand, positive constant-currency yield growth, and raised 2026 outlook—suggest that NCLH’s weak performance is predominantly</w:t>
      </w:r>
      <w:r>
        <w:t xml:space="preserve"> </w:t>
      </w:r>
      <w:r>
        <w:rPr>
          <w:b/>
          <w:bCs/>
        </w:rPr>
        <w:t xml:space="preserve">company-specific execution</w:t>
      </w:r>
      <w:r>
        <w:t xml:space="preserve">, particularly at the Norwegian Cruise Line brand.</w:t>
      </w:r>
    </w:p>
    <w:p>
      <w:pPr>
        <w:pStyle w:val="BodyText"/>
      </w:pPr>
      <w:r>
        <w:t xml:space="preserve">NCLH enters the report following a sharp May guide-down that cited a suboptimal booking curve, weak marketing/revenue-management execution, elevated Europe exposure, geopolitical disruption, and higher fuel and logistics costs. Management has been direct that its turnaround will take time: cost savings should arrive first, while revenue and occupancy recovery is expected to emerge more gradually through 2027.</w:t>
      </w:r>
    </w:p>
    <w:p>
      <w:pPr>
        <w:pStyle w:val="BodyText"/>
      </w:pPr>
      <w:r>
        <w:t xml:space="preserve">The key question for investors is therefore:</w:t>
      </w:r>
      <w:r>
        <w:t xml:space="preserve"> </w:t>
      </w:r>
      <w:r>
        <w:rPr>
          <w:b/>
          <w:bCs/>
        </w:rPr>
        <w:t xml:space="preserve">Has Q2 demand tracked to plan, and has the outlook for Q3—NCLH’s most Europe-exposed and potentially weakest quarter—become any less severe?</w:t>
      </w:r>
    </w:p>
    <w:p>
      <w:r>
        <w:pict>
          <v:rect style="width:0;height:1.5pt" o:hralign="center" o:hrstd="t" o:hr="t"/>
        </w:pict>
      </w:r>
    </w:p>
    <w:bookmarkEnd w:id="9"/>
    <w:bookmarkStart w:id="10" w:name="what-nclh-guided-for-in-2q26"/>
    <w:p>
      <w:pPr>
        <w:pStyle w:val="Heading2"/>
      </w:pPr>
      <w:r>
        <w:t xml:space="preserve">What NCLH guided for in 2Q26</w:t>
      </w:r>
    </w:p>
    <w:p>
      <w:pPr>
        <w:pStyle w:val="FirstParagraph"/>
      </w:pPr>
      <w:r>
        <w:t xml:space="preserve">At its May 4 first-quarter report, NCLH provided the following second-quarter outlook:</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2Q26 guidance</w:t>
            </w:r>
          </w:p>
        </w:tc>
        <w:tc>
          <w:tcPr/>
          <w:p>
            <w:pPr>
              <w:pStyle w:val="Compact"/>
              <w:jc w:val="right"/>
            </w:pPr>
            <w:r>
              <w:t xml:space="preserve">2Q25 actual</w:t>
            </w:r>
          </w:p>
        </w:tc>
        <w:tc>
          <w:tcPr/>
          <w:p>
            <w:pPr>
              <w:pStyle w:val="Compact"/>
            </w:pPr>
            <w:r>
              <w:t xml:space="preserve">Read-through</w:t>
            </w:r>
          </w:p>
        </w:tc>
      </w:tr>
      <w:tr>
        <w:tc>
          <w:tcPr/>
          <w:p>
            <w:pPr>
              <w:pStyle w:val="Compact"/>
            </w:pPr>
            <w:r>
              <w:t xml:space="preserve">Net Yield, constant currency</w:t>
            </w:r>
          </w:p>
        </w:tc>
        <w:tc>
          <w:tcPr/>
          <w:p>
            <w:pPr>
              <w:pStyle w:val="Compact"/>
              <w:jc w:val="right"/>
            </w:pPr>
            <w:r>
              <w:rPr>
                <w:b/>
                <w:bCs/>
              </w:rPr>
              <w:t xml:space="preserve">~(3.6%)</w:t>
            </w:r>
          </w:p>
        </w:tc>
        <w:tc>
          <w:tcPr/>
          <w:p>
            <w:pPr>
              <w:pStyle w:val="Compact"/>
              <w:jc w:val="right"/>
            </w:pPr>
            <w:r>
              <w:rPr>
                <w:b/>
                <w:bCs/>
              </w:rPr>
              <w:t xml:space="preserve">+3.1%</w:t>
            </w:r>
          </w:p>
        </w:tc>
        <w:tc>
          <w:tcPr/>
          <w:p>
            <w:pPr>
              <w:pStyle w:val="Compact"/>
            </w:pPr>
            <w:r>
              <w:t xml:space="preserve">Large reversal in pricing/mix and load economics</w:t>
            </w:r>
          </w:p>
        </w:tc>
      </w:tr>
      <w:tr>
        <w:tc>
          <w:tcPr/>
          <w:p>
            <w:pPr>
              <w:pStyle w:val="Compact"/>
            </w:pPr>
            <w:r>
              <w:t xml:space="preserve">Adjusted NCC ex-fuel / Capacity Day, constant currency</w:t>
            </w:r>
          </w:p>
        </w:tc>
        <w:tc>
          <w:tcPr/>
          <w:p>
            <w:pPr>
              <w:pStyle w:val="Compact"/>
              <w:jc w:val="right"/>
            </w:pPr>
            <w:r>
              <w:rPr>
                <w:b/>
                <w:bCs/>
              </w:rPr>
              <w:t xml:space="preserve">~+1.0%</w:t>
            </w:r>
          </w:p>
        </w:tc>
        <w:tc>
          <w:tcPr/>
          <w:p>
            <w:pPr>
              <w:pStyle w:val="Compact"/>
              <w:jc w:val="right"/>
            </w:pPr>
            <w:r>
              <w:t xml:space="preserve">Flat</w:t>
            </w:r>
          </w:p>
        </w:tc>
        <w:tc>
          <w:tcPr/>
          <w:p>
            <w:pPr>
              <w:pStyle w:val="Compact"/>
            </w:pPr>
            <w:r>
              <w:t xml:space="preserve">Cost discipline, but with war-related logistics pressure</w:t>
            </w:r>
          </w:p>
        </w:tc>
      </w:tr>
      <w:tr>
        <w:tc>
          <w:tcPr/>
          <w:p>
            <w:pPr>
              <w:pStyle w:val="Compact"/>
            </w:pPr>
            <w:r>
              <w:t xml:space="preserve">Capacity Days</w:t>
            </w:r>
          </w:p>
        </w:tc>
        <w:tc>
          <w:tcPr/>
          <w:p>
            <w:pPr>
              <w:pStyle w:val="Compact"/>
              <w:jc w:val="right"/>
            </w:pPr>
            <w:r>
              <w:rPr>
                <w:b/>
                <w:bCs/>
              </w:rPr>
              <w:t xml:space="preserve">~6.6m</w:t>
            </w:r>
          </w:p>
        </w:tc>
        <w:tc>
          <w:tcPr/>
          <w:p>
            <w:pPr>
              <w:pStyle w:val="Compact"/>
              <w:jc w:val="right"/>
            </w:pPr>
            <w:r>
              <w:t xml:space="preserve">6.05m</w:t>
            </w:r>
          </w:p>
        </w:tc>
        <w:tc>
          <w:tcPr/>
          <w:p>
            <w:pPr>
              <w:pStyle w:val="Compact"/>
            </w:pPr>
            <w:r>
              <w:t xml:space="preserve">Roughly</w:t>
            </w:r>
            <w:r>
              <w:t xml:space="preserve"> </w:t>
            </w:r>
            <w:r>
              <w:rPr>
                <w:b/>
                <w:bCs/>
              </w:rPr>
              <w:t xml:space="preserve">9% capacity growth</w:t>
            </w:r>
          </w:p>
        </w:tc>
      </w:tr>
      <w:tr>
        <w:tc>
          <w:tcPr/>
          <w:p>
            <w:pPr>
              <w:pStyle w:val="Compact"/>
            </w:pPr>
            <w:r>
              <w:t xml:space="preserve">Occupancy</w:t>
            </w:r>
          </w:p>
        </w:tc>
        <w:tc>
          <w:tcPr/>
          <w:p>
            <w:pPr>
              <w:pStyle w:val="Compact"/>
              <w:jc w:val="right"/>
            </w:pPr>
            <w:r>
              <w:rPr>
                <w:b/>
                <w:bCs/>
              </w:rPr>
              <w:t xml:space="preserve">~102.5%</w:t>
            </w:r>
          </w:p>
        </w:tc>
        <w:tc>
          <w:tcPr/>
          <w:p>
            <w:pPr>
              <w:pStyle w:val="Compact"/>
              <w:jc w:val="right"/>
            </w:pPr>
            <w:r>
              <w:t xml:space="preserve">103.9%</w:t>
            </w:r>
          </w:p>
        </w:tc>
        <w:tc>
          <w:tcPr/>
          <w:p>
            <w:pPr>
              <w:pStyle w:val="Compact"/>
            </w:pPr>
            <w:r>
              <w:t xml:space="preserve">About</w:t>
            </w:r>
            <w:r>
              <w:t xml:space="preserve"> </w:t>
            </w:r>
            <w:r>
              <w:rPr>
                <w:b/>
                <w:bCs/>
              </w:rPr>
              <w:t xml:space="preserve">140 bps lower</w:t>
            </w:r>
            <w:r>
              <w:t xml:space="preserve"> </w:t>
            </w:r>
            <w:r>
              <w:t xml:space="preserve">year over year</w:t>
            </w:r>
          </w:p>
        </w:tc>
      </w:tr>
      <w:tr>
        <w:tc>
          <w:tcPr/>
          <w:p>
            <w:pPr>
              <w:pStyle w:val="Compact"/>
            </w:pPr>
            <w:r>
              <w:t xml:space="preserve">Adjusted EBITDA</w:t>
            </w:r>
          </w:p>
        </w:tc>
        <w:tc>
          <w:tcPr/>
          <w:p>
            <w:pPr>
              <w:pStyle w:val="Compact"/>
              <w:jc w:val="right"/>
            </w:pPr>
            <w:r>
              <w:rPr>
                <w:b/>
                <w:bCs/>
              </w:rPr>
              <w:t xml:space="preserve">~$632m</w:t>
            </w:r>
          </w:p>
        </w:tc>
        <w:tc>
          <w:tcPr/>
          <w:p>
            <w:pPr>
              <w:pStyle w:val="Compact"/>
              <w:jc w:val="right"/>
            </w:pPr>
            <w:r>
              <w:t xml:space="preserve">$694m</w:t>
            </w:r>
          </w:p>
        </w:tc>
        <w:tc>
          <w:tcPr/>
          <w:p>
            <w:pPr>
              <w:pStyle w:val="Compact"/>
            </w:pPr>
            <w:r>
              <w:t xml:space="preserve">Roughly</w:t>
            </w:r>
            <w:r>
              <w:t xml:space="preserve"> </w:t>
            </w:r>
            <w:r>
              <w:rPr>
                <w:b/>
                <w:bCs/>
              </w:rPr>
              <w:t xml:space="preserve">9% lower</w:t>
            </w:r>
            <w:r>
              <w:t xml:space="preserve"> </w:t>
            </w:r>
            <w:r>
              <w:t xml:space="preserve">despite capacity growth</w:t>
            </w:r>
          </w:p>
        </w:tc>
      </w:tr>
      <w:tr>
        <w:tc>
          <w:tcPr/>
          <w:p>
            <w:pPr>
              <w:pStyle w:val="Compact"/>
            </w:pPr>
            <w:r>
              <w:t xml:space="preserve">Adjusted EPS</w:t>
            </w:r>
          </w:p>
        </w:tc>
        <w:tc>
          <w:tcPr/>
          <w:p>
            <w:pPr>
              <w:pStyle w:val="Compact"/>
              <w:jc w:val="right"/>
            </w:pPr>
            <w:r>
              <w:rPr>
                <w:b/>
                <w:bCs/>
              </w:rPr>
              <w:t xml:space="preserve">~$0.38</w:t>
            </w:r>
          </w:p>
        </w:tc>
        <w:tc>
          <w:tcPr/>
          <w:p>
            <w:pPr>
              <w:pStyle w:val="Compact"/>
              <w:jc w:val="right"/>
            </w:pPr>
            <w:r>
              <w:t xml:space="preserve">$0.51</w:t>
            </w:r>
          </w:p>
        </w:tc>
        <w:tc>
          <w:tcPr/>
          <w:p>
            <w:pPr>
              <w:pStyle w:val="Compact"/>
            </w:pPr>
            <w:r>
              <w:t xml:space="preserve">Roughly</w:t>
            </w:r>
            <w:r>
              <w:t xml:space="preserve"> </w:t>
            </w:r>
            <w:r>
              <w:rPr>
                <w:b/>
                <w:bCs/>
              </w:rPr>
              <w:t xml:space="preserve">25% lower</w:t>
            </w:r>
            <w:r>
              <w:t xml:space="preserve"> </w:t>
            </w:r>
            <w:r>
              <w:t xml:space="preserve">year over year</w:t>
            </w:r>
          </w:p>
        </w:tc>
      </w:tr>
    </w:tbl>
    <w:p>
      <w:pPr>
        <w:pStyle w:val="BodyText"/>
      </w:pPr>
      <w:r>
        <w:t xml:space="preserve">The setup highlights the operating deleverage problem: NCLH is adding substantial capacity, but is guiding to lower occupancy, lower yield, and lower EBITDA.</w:t>
      </w:r>
    </w:p>
    <w:p>
      <w:pPr>
        <w:pStyle w:val="BodyText"/>
      </w:pPr>
      <w:r>
        <w:t xml:space="preserve">For context, 2Q25 was a strong comparison period: revenue reached a record</w:t>
      </w:r>
      <w:r>
        <w:t xml:space="preserve"> </w:t>
      </w:r>
      <m:oMath>
        <m:r>
          <m:t>2.52</m:t>
        </m:r>
        <m:r>
          <m:t>b</m:t>
        </m:r>
        <m:r>
          <m:t>i</m:t>
        </m:r>
        <m:r>
          <m:t>l</m:t>
        </m:r>
        <m:r>
          <m:t>l</m:t>
        </m:r>
        <m:r>
          <m:t>i</m:t>
        </m:r>
        <m:r>
          <m:t>o</m:t>
        </m:r>
        <m:r>
          <m:t>n</m:t>
        </m:r>
        <m:r>
          <m:rPr>
            <m:sty m:val="p"/>
          </m:rPr>
          <m:t>*</m:t>
        </m:r>
        <m:r>
          <m:rPr>
            <m:sty m:val="p"/>
          </m:rPr>
          <m:t>*</m:t>
        </m:r>
        <m:r>
          <m:rPr>
            <m:sty m:val="p"/>
          </m:rPr>
          <m:t>,</m:t>
        </m:r>
        <m:r>
          <m:t>a</m:t>
        </m:r>
        <m:r>
          <m:t>d</m:t>
        </m:r>
        <m:r>
          <m:t>j</m:t>
        </m:r>
        <m:r>
          <m:t>u</m:t>
        </m:r>
        <m:r>
          <m:t>s</m:t>
        </m:r>
        <m:r>
          <m:t>t</m:t>
        </m:r>
        <m:r>
          <m:t>e</m:t>
        </m:r>
        <m:r>
          <m:t>d</m:t>
        </m:r>
        <m:r>
          <m:t>E</m:t>
        </m:r>
        <m:r>
          <m:t>B</m:t>
        </m:r>
        <m:r>
          <m:t>I</m:t>
        </m:r>
        <m:r>
          <m:t>T</m:t>
        </m:r>
        <m:r>
          <m:t>D</m:t>
        </m:r>
        <m:r>
          <m:t>A</m:t>
        </m:r>
        <m:r>
          <m:t>w</m:t>
        </m:r>
        <m:r>
          <m:t>a</m:t>
        </m:r>
        <m:r>
          <m:t>s</m:t>
        </m:r>
        <m:r>
          <m:rPr>
            <m:sty m:val="p"/>
          </m:rPr>
          <m:t>*</m:t>
        </m:r>
        <m:r>
          <m:rPr>
            <m:sty m:val="p"/>
          </m:rPr>
          <m:t>*</m:t>
        </m:r>
      </m:oMath>
      <w:r>
        <w:rPr>
          <w:b/>
          <w:bCs/>
        </w:rPr>
        <w:t xml:space="preserve">694 million</w:t>
      </w:r>
      <w:r>
        <w:t xml:space="preserve">, adjusted EPS was</w:t>
      </w:r>
      <w:r>
        <w:t xml:space="preserve"> </w:t>
      </w:r>
      <w:r>
        <w:rPr>
          <w:b/>
          <w:bCs/>
        </w:rPr>
        <w:t xml:space="preserve">$0.51</w:t>
      </w:r>
      <w:r>
        <w:t xml:space="preserve">, occupancy was</w:t>
      </w:r>
      <w:r>
        <w:t xml:space="preserve"> </w:t>
      </w:r>
      <w:r>
        <w:rPr>
          <w:b/>
          <w:bCs/>
        </w:rPr>
        <w:t xml:space="preserve">103.9%</w:t>
      </w:r>
      <w:r>
        <w:t xml:space="preserve">, and constant-currency Net Yield increased</w:t>
      </w:r>
      <w:r>
        <w:t xml:space="preserve"> </w:t>
      </w:r>
      <w:r>
        <w:rPr>
          <w:b/>
          <w:bCs/>
        </w:rPr>
        <w:t xml:space="preserve">3.1%</w:t>
      </w:r>
      <w:r>
        <w:t xml:space="preserve">.</w:t>
      </w:r>
    </w:p>
    <w:p>
      <w:r>
        <w:pict>
          <v:rect style="width:0;height:1.5pt" o:hralign="center" o:hrstd="t" o:hr="t"/>
        </w:pict>
      </w:r>
    </w:p>
    <w:bookmarkEnd w:id="10"/>
    <w:bookmarkStart w:id="14" w:name="the-three-issues-that-matter-most"/>
    <w:p>
      <w:pPr>
        <w:pStyle w:val="Heading2"/>
      </w:pPr>
      <w:r>
        <w:t xml:space="preserve">The three issues that matter most</w:t>
      </w:r>
    </w:p>
    <w:bookmarkStart w:id="11" w:name="Xdc16842eea51bf5626a9252ade3c2bd229a6985"/>
    <w:p>
      <w:pPr>
        <w:pStyle w:val="Heading3"/>
      </w:pPr>
      <w:r>
        <w:t xml:space="preserve">1. Q3 outlook and the European booking curve are the swing factors</w:t>
      </w:r>
    </w:p>
    <w:p>
      <w:pPr>
        <w:pStyle w:val="FirstParagraph"/>
      </w:pPr>
      <w:r>
        <w:t xml:space="preserve">Management’s May commentary was unusually cautious on Q3. NCLH said that Europe would represent about</w:t>
      </w:r>
      <w:r>
        <w:t xml:space="preserve"> </w:t>
      </w:r>
      <w:r>
        <w:rPr>
          <w:b/>
          <w:bCs/>
        </w:rPr>
        <w:t xml:space="preserve">38% of Q3 deployment</w:t>
      </w:r>
      <w:r>
        <w:t xml:space="preserve">, versus about 26% in Q2, and indicated that Q3 Net Yield could be down in the</w:t>
      </w:r>
      <w:r>
        <w:t xml:space="preserve"> </w:t>
      </w:r>
      <w:r>
        <w:rPr>
          <w:b/>
          <w:bCs/>
        </w:rPr>
        <w:t xml:space="preserve">high single digits</w:t>
      </w:r>
      <w:r>
        <w:t xml:space="preserve"> </w:t>
      </w:r>
      <w:r>
        <w:t xml:space="preserve">in a downside scenario. The company entered 2026 behind its ideal booking curve, leaving more inventory to sell close to departure just as geopolitical disruption weakened European demand.</w:t>
      </w:r>
    </w:p>
    <w:p>
      <w:pPr>
        <w:pStyle w:val="BodyText"/>
      </w:pPr>
      <w:r>
        <w:t xml:space="preserve">This means an in-line Q2 result alone is unlikely to be sufficient for the shares. Investors will want evidence that:</w:t>
      </w:r>
    </w:p>
    <w:p>
      <w:pPr>
        <w:pStyle w:val="Compact"/>
        <w:numPr>
          <w:ilvl w:val="0"/>
          <w:numId w:val="1001"/>
        </w:numPr>
      </w:pPr>
      <w:r>
        <w:t xml:space="preserve">Europe cancellations and pricing pressure have stabilized;</w:t>
      </w:r>
    </w:p>
    <w:p>
      <w:pPr>
        <w:pStyle w:val="Compact"/>
        <w:numPr>
          <w:ilvl w:val="0"/>
          <w:numId w:val="1001"/>
        </w:numPr>
      </w:pPr>
      <w:r>
        <w:t xml:space="preserve">last-minute booking trends have improved;</w:t>
      </w:r>
    </w:p>
    <w:p>
      <w:pPr>
        <w:pStyle w:val="Compact"/>
        <w:numPr>
          <w:ilvl w:val="0"/>
          <w:numId w:val="1001"/>
        </w:numPr>
      </w:pPr>
      <w:r>
        <w:t xml:space="preserve">Caribbean and Alaska demand is behaving better than feared;</w:t>
      </w:r>
    </w:p>
    <w:p>
      <w:pPr>
        <w:pStyle w:val="Compact"/>
        <w:numPr>
          <w:ilvl w:val="0"/>
          <w:numId w:val="1001"/>
        </w:numPr>
      </w:pPr>
      <w:r>
        <w:t xml:space="preserve">the Q3 yield outlook is not worsening from the May framework; and</w:t>
      </w:r>
    </w:p>
    <w:p>
      <w:pPr>
        <w:pStyle w:val="Compact"/>
        <w:numPr>
          <w:ilvl w:val="0"/>
          <w:numId w:val="1001"/>
        </w:numPr>
      </w:pPr>
      <w:r>
        <w:t xml:space="preserve">2027 bookings are being built on a healthier base.</w:t>
      </w:r>
    </w:p>
    <w:p>
      <w:pPr>
        <w:pStyle w:val="FirstParagraph"/>
      </w:pPr>
      <w:r>
        <w:t xml:space="preserve">A material Q3 deterioration or another full-year reduction would reinforce the view that NCLH’s commercial issues are lasting longer than management initially expected.</w:t>
      </w:r>
    </w:p>
    <w:bookmarkEnd w:id="11"/>
    <w:bookmarkStart w:id="12" w:name="Xe356c28968931b9aff15c866dcc13abaaa7b576"/>
    <w:p>
      <w:pPr>
        <w:pStyle w:val="Heading3"/>
      </w:pPr>
      <w:r>
        <w:t xml:space="preserve">2. Norwegian-brand execution versus a healthy industry backdrop</w:t>
      </w:r>
    </w:p>
    <w:p>
      <w:pPr>
        <w:pStyle w:val="FirstParagraph"/>
      </w:pPr>
      <w:r>
        <w:t xml:space="preserve">NCLH management has repeatedly characterized the Norwegian brand’s challenges as “self-inflicted”—including weak demand generation, misaligned marketing, deployment and revenue management, and a booking curve that began the year in a poor position.</w:t>
      </w:r>
    </w:p>
    <w:p>
      <w:pPr>
        <w:pStyle w:val="BodyText"/>
      </w:pPr>
      <w:r>
        <w:t xml:space="preserve">That framing is increasingly important given peer performance. Royal Caribbean reported on July 28 that second-quarter Net Yield grew</w:t>
      </w:r>
      <w:r>
        <w:t xml:space="preserve"> </w:t>
      </w:r>
      <w:r>
        <w:rPr>
          <w:b/>
          <w:bCs/>
        </w:rPr>
        <w:t xml:space="preserve">1.2% in constant currency</w:t>
      </w:r>
      <w:r>
        <w:t xml:space="preserve">, driven by better-than-expected close-in demand; it raised full-year adjusted EPS guidance, cited record pricing and robust loads, and said 2027 booking trends were ahead of historical levels. That makes a broad “consumer weakness” explanation less persuasive for NCLH. The relevant test is whether NCLH can show that its corrective actions are translating into better demand conversion and occupancy.</w:t>
      </w:r>
    </w:p>
    <w:bookmarkEnd w:id="12"/>
    <w:bookmarkStart w:id="13" w:name="Xab58c4b01aafc848b08e17be018b3d10cac5884"/>
    <w:p>
      <w:pPr>
        <w:pStyle w:val="Heading3"/>
      </w:pPr>
      <w:r>
        <w:t xml:space="preserve">3. Cost savings are real—but cannot fully offset a revenue miss</w:t>
      </w:r>
    </w:p>
    <w:p>
      <w:pPr>
        <w:pStyle w:val="FirstParagraph"/>
      </w:pPr>
      <w:r>
        <w:t xml:space="preserve">The constructive element of the NCLH story is management’s cost response. It identified approximately</w:t>
      </w:r>
      <w:r>
        <w:t xml:space="preserve"> </w:t>
      </w:r>
      <w:r>
        <w:rPr>
          <w:b/>
          <w:bCs/>
        </w:rPr>
        <w:t xml:space="preserve">$125 million of annualized SG&amp;A savings** through organizational streamlining and more efficient marketing spending. It also described total cumulative savings of nearly **$</w:t>
      </w:r>
      <w:r>
        <w:rPr>
          <w:b/>
          <w:bCs/>
        </w:rPr>
        <w:t xml:space="preserve">400 million</w:t>
      </w:r>
      <w:r>
        <w:t xml:space="preserve"> </w:t>
      </w:r>
      <w:r>
        <w:t xml:space="preserve">across prior shipboard initiatives and recent shoreside actions.</w:t>
      </w:r>
    </w:p>
    <w:p>
      <w:pPr>
        <w:pStyle w:val="BodyText"/>
      </w:pPr>
      <w:r>
        <w:t xml:space="preserve">In 1Q26, this discipline was already visible: adjusted net cruise cost excluding fuel declined</w:t>
      </w:r>
      <w:r>
        <w:t xml:space="preserve"> </w:t>
      </w:r>
      <w:r>
        <w:rPr>
          <w:b/>
          <w:bCs/>
        </w:rPr>
        <w:t xml:space="preserve">1.0% in constant currency</w:t>
      </w:r>
      <w:r>
        <w:t xml:space="preserve">, better than guidance, while adjusted EBITDA of</w:t>
      </w:r>
      <w:r>
        <w:t xml:space="preserve"> </w:t>
      </w:r>
      <w:r>
        <w:rPr>
          <w:b/>
          <w:bCs/>
        </w:rPr>
        <w:t xml:space="preserve">$533 million</w:t>
      </w:r>
      <w:r>
        <w:t xml:space="preserve"> </w:t>
      </w:r>
      <w:r>
        <w:t xml:space="preserve">exceeded the company’s approximate $515 million target.</w:t>
      </w:r>
    </w:p>
    <w:p>
      <w:pPr>
        <w:pStyle w:val="BodyText"/>
      </w:pPr>
      <w:r>
        <w:t xml:space="preserve">However, the company expects the revenue turnaround to lag the cost program. Savings can protect the earnings floor, but they will not repair the valuation or deleveraging case unless Net Yield, occupancy, and booking curves begin to recover. Investors should distinguish between:</w:t>
      </w:r>
    </w:p>
    <w:p>
      <w:pPr>
        <w:pStyle w:val="Compact"/>
        <w:numPr>
          <w:ilvl w:val="0"/>
          <w:numId w:val="1002"/>
        </w:numPr>
      </w:pPr>
      <w:r>
        <w:rPr>
          <w:b/>
          <w:bCs/>
        </w:rPr>
        <w:t xml:space="preserve">sustainable structural savings</w:t>
      </w:r>
      <w:r>
        <w:t xml:space="preserve">, which can benefit 2027 margins; and</w:t>
      </w:r>
    </w:p>
    <w:p>
      <w:pPr>
        <w:pStyle w:val="Compact"/>
        <w:numPr>
          <w:ilvl w:val="0"/>
          <w:numId w:val="1002"/>
        </w:numPr>
      </w:pPr>
      <w:r>
        <w:rPr>
          <w:b/>
          <w:bCs/>
        </w:rPr>
        <w:t xml:space="preserve">temporary underspend or timing benefits</w:t>
      </w:r>
      <w:r>
        <w:t xml:space="preserve">, which may reverse in later periods.</w:t>
      </w:r>
    </w:p>
    <w:p>
      <w:r>
        <w:pict>
          <v:rect style="width:0;height:1.5pt" o:hralign="center" o:hrstd="t" o:hr="t"/>
        </w:pict>
      </w:r>
    </w:p>
    <w:bookmarkEnd w:id="13"/>
    <w:bookmarkEnd w:id="14"/>
    <w:bookmarkStart w:id="15" w:name="Xb816b82aa05d870b8588b1bcc65729395b81cb6"/>
    <w:p>
      <w:pPr>
        <w:pStyle w:val="Heading2"/>
      </w:pPr>
      <w:r>
        <w:t xml:space="preserve">Full-year guide: focus on direction, not merely reiteration</w:t>
      </w:r>
    </w:p>
    <w:p>
      <w:pPr>
        <w:pStyle w:val="FirstParagraph"/>
      </w:pPr>
      <w:r>
        <w:t xml:space="preserve">NCLH’s current 2026 guidance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2026 outlook</w:t>
            </w:r>
          </w:p>
        </w:tc>
      </w:tr>
      <w:tr>
        <w:tc>
          <w:tcPr/>
          <w:p>
            <w:pPr>
              <w:pStyle w:val="Compact"/>
            </w:pPr>
            <w:r>
              <w:t xml:space="preserve">Net Yield, constant currency</w:t>
            </w:r>
          </w:p>
        </w:tc>
        <w:tc>
          <w:tcPr/>
          <w:p>
            <w:pPr>
              <w:pStyle w:val="Compact"/>
              <w:jc w:val="right"/>
            </w:pPr>
            <w:r>
              <w:rPr>
                <w:b/>
                <w:bCs/>
              </w:rPr>
              <w:t xml:space="preserve">(3%) to (5%)</w:t>
            </w:r>
          </w:p>
        </w:tc>
      </w:tr>
      <w:tr>
        <w:tc>
          <w:tcPr/>
          <w:p>
            <w:pPr>
              <w:pStyle w:val="Compact"/>
            </w:pPr>
            <w:r>
              <w:t xml:space="preserve">Adjusted NCC ex-fuel / Capacity Day, constant currency</w:t>
            </w:r>
          </w:p>
        </w:tc>
        <w:tc>
          <w:tcPr/>
          <w:p>
            <w:pPr>
              <w:pStyle w:val="Compact"/>
              <w:jc w:val="right"/>
            </w:pPr>
            <w:r>
              <w:t xml:space="preserve">Approximately flat</w:t>
            </w:r>
          </w:p>
        </w:tc>
      </w:tr>
      <w:tr>
        <w:tc>
          <w:tcPr/>
          <w:p>
            <w:pPr>
              <w:pStyle w:val="Compact"/>
            </w:pPr>
            <w:r>
              <w:t xml:space="preserve">Adjusted EBITDA</w:t>
            </w:r>
          </w:p>
        </w:tc>
        <w:tc>
          <w:tcPr/>
          <w:p>
            <w:pPr>
              <w:pStyle w:val="Compact"/>
              <w:jc w:val="right"/>
            </w:pPr>
            <m:oMath>
              <m:r>
                <m:t>2.48</m:t>
              </m:r>
              <m:r>
                <m:t>b</m:t>
              </m:r>
              <m:r>
                <m:t>n</m:t>
              </m:r>
              <m:r>
                <m:rPr>
                  <m:sty m:val="p"/>
                </m:rPr>
                <m:t>–</m:t>
              </m:r>
            </m:oMath>
            <w:r>
              <w:rPr>
                <w:b/>
                <w:bCs/>
              </w:rPr>
              <w:t xml:space="preserve">2.64bn</w:t>
            </w:r>
          </w:p>
        </w:tc>
      </w:tr>
      <w:tr>
        <w:tc>
          <w:tcPr/>
          <w:p>
            <w:pPr>
              <w:pStyle w:val="Compact"/>
            </w:pPr>
            <w:r>
              <w:t xml:space="preserve">Adjusted EPS</w:t>
            </w:r>
          </w:p>
        </w:tc>
        <w:tc>
          <w:tcPr/>
          <w:p>
            <w:pPr>
              <w:pStyle w:val="Compact"/>
              <w:jc w:val="right"/>
            </w:pPr>
            <m:oMath>
              <m:r>
                <m:t>1.45</m:t>
              </m:r>
              <m:r>
                <m:rPr>
                  <m:sty m:val="p"/>
                </m:rPr>
                <m:t>–</m:t>
              </m:r>
            </m:oMath>
            <w:r>
              <w:rPr>
                <w:b/>
                <w:bCs/>
              </w:rPr>
              <w:t xml:space="preserve">1.79</w:t>
            </w:r>
          </w:p>
        </w:tc>
      </w:tr>
      <w:tr>
        <w:tc>
          <w:tcPr/>
          <w:p>
            <w:pPr>
              <w:pStyle w:val="Compact"/>
            </w:pPr>
            <w:r>
              <w:t xml:space="preserve">Year-end capacity growth</w:t>
            </w:r>
          </w:p>
        </w:tc>
        <w:tc>
          <w:tcPr/>
          <w:p>
            <w:pPr>
              <w:pStyle w:val="Compact"/>
              <w:jc w:val="right"/>
            </w:pPr>
            <w:r>
              <w:t xml:space="preserve">~7%</w:t>
            </w:r>
          </w:p>
        </w:tc>
      </w:tr>
      <w:tr>
        <w:tc>
          <w:tcPr/>
          <w:p>
            <w:pPr>
              <w:pStyle w:val="Compact"/>
            </w:pPr>
            <w:r>
              <w:t xml:space="preserve">Occupancy</w:t>
            </w:r>
          </w:p>
        </w:tc>
        <w:tc>
          <w:tcPr/>
          <w:p>
            <w:pPr>
              <w:pStyle w:val="Compact"/>
              <w:jc w:val="right"/>
            </w:pPr>
            <w:r>
              <w:t xml:space="preserve">~104.2%</w:t>
            </w:r>
          </w:p>
        </w:tc>
      </w:tr>
      <w:tr>
        <w:tc>
          <w:tcPr/>
          <w:p>
            <w:pPr>
              <w:pStyle w:val="Compact"/>
            </w:pPr>
            <w:r>
              <w:t xml:space="preserve">Fuel price assumption, net of hedges</w:t>
            </w:r>
          </w:p>
        </w:tc>
        <w:tc>
          <w:tcPr/>
          <w:p>
            <w:pPr>
              <w:pStyle w:val="Compact"/>
              <w:jc w:val="right"/>
            </w:pPr>
            <w:r>
              <w:t xml:space="preserve">$782/metric ton</w:t>
            </w:r>
          </w:p>
        </w:tc>
      </w:tr>
      <w:tr>
        <w:tc>
          <w:tcPr/>
          <w:p>
            <w:pPr>
              <w:pStyle w:val="Compact"/>
            </w:pPr>
            <w:r>
              <w:t xml:space="preserve">Net leverage</w:t>
            </w:r>
          </w:p>
        </w:tc>
        <w:tc>
          <w:tcPr/>
          <w:p>
            <w:pPr>
              <w:pStyle w:val="Compact"/>
              <w:jc w:val="right"/>
            </w:pPr>
            <w:r>
              <w:t xml:space="preserve">Management previously indicated a</w:t>
            </w:r>
            <w:r>
              <w:t xml:space="preserve"> </w:t>
            </w:r>
            <w:r>
              <w:rPr>
                <w:b/>
                <w:bCs/>
              </w:rPr>
              <w:t xml:space="preserve">high-5x</w:t>
            </w:r>
            <w:r>
              <w:t xml:space="preserve"> </w:t>
            </w:r>
            <w:r>
              <w:t xml:space="preserve">year-end range</w:t>
            </w:r>
          </w:p>
        </w:tc>
      </w:tr>
    </w:tbl>
    <w:p>
      <w:pPr>
        <w:pStyle w:val="BodyText"/>
      </w:pPr>
      <w:r>
        <w:t xml:space="preserve">The full-year range remains wide, which reflects uncertainty around the Norwegian-brand turnaround and close-in demand. Management previously stated that a</w:t>
      </w:r>
      <w:r>
        <w:t xml:space="preserve"> </w:t>
      </w:r>
      <w:r>
        <w:rPr>
          <w:b/>
          <w:bCs/>
        </w:rPr>
        <w:t xml:space="preserve">1% change in Net Yield</w:t>
      </w:r>
      <w:r>
        <w:t xml:space="preserve"> </w:t>
      </w:r>
      <w:r>
        <w:t xml:space="preserve">would affect full-year adjusted EBITDA by approximately</w:t>
      </w:r>
      <w:r>
        <w:t xml:space="preserve"> </w:t>
      </w:r>
      <m:oMath>
        <m:r>
          <m:t>76</m:t>
        </m:r>
        <m:r>
          <m:t>m</m:t>
        </m:r>
        <m:r>
          <m:t>i</m:t>
        </m:r>
        <m:r>
          <m:t>l</m:t>
        </m:r>
        <m:r>
          <m:t>l</m:t>
        </m:r>
        <m:r>
          <m:t>i</m:t>
        </m:r>
        <m:r>
          <m:t>o</m:t>
        </m:r>
        <m:r>
          <m:t>n</m:t>
        </m:r>
        <m:r>
          <m:rPr>
            <m:sty m:val="p"/>
          </m:rPr>
          <m:t>*</m:t>
        </m:r>
        <m:r>
          <m:rPr>
            <m:sty m:val="p"/>
          </m:rPr>
          <m:t>*</m:t>
        </m:r>
        <m:r>
          <m:t>a</m:t>
        </m:r>
        <m:r>
          <m:t>n</m:t>
        </m:r>
        <m:r>
          <m:t>d</m:t>
        </m:r>
        <m:r>
          <m:t>a</m:t>
        </m:r>
        <m:r>
          <m:t>d</m:t>
        </m:r>
        <m:r>
          <m:t>j</m:t>
        </m:r>
        <m:r>
          <m:t>u</m:t>
        </m:r>
        <m:r>
          <m:t>s</m:t>
        </m:r>
        <m:r>
          <m:t>t</m:t>
        </m:r>
        <m:r>
          <m:t>e</m:t>
        </m:r>
        <m:r>
          <m:t>d</m:t>
        </m:r>
        <m:r>
          <m:t>E</m:t>
        </m:r>
        <m:r>
          <m:t>P</m:t>
        </m:r>
        <m:r>
          <m:t>S</m:t>
        </m:r>
        <m:r>
          <m:t>b</m:t>
        </m:r>
        <m:r>
          <m:t>y</m:t>
        </m:r>
        <m:r>
          <m:t>a</m:t>
        </m:r>
        <m:r>
          <m:t>p</m:t>
        </m:r>
        <m:r>
          <m:t>p</m:t>
        </m:r>
        <m:r>
          <m:t>r</m:t>
        </m:r>
        <m:r>
          <m:t>o</m:t>
        </m:r>
        <m:r>
          <m:t>x</m:t>
        </m:r>
        <m:r>
          <m:t>i</m:t>
        </m:r>
        <m:r>
          <m:t>m</m:t>
        </m:r>
        <m:r>
          <m:t>a</m:t>
        </m:r>
        <m:r>
          <m:t>t</m:t>
        </m:r>
        <m:r>
          <m:t>e</m:t>
        </m:r>
        <m:r>
          <m:t>l</m:t>
        </m:r>
        <m:r>
          <m:t>y</m:t>
        </m:r>
        <m:r>
          <m:rPr>
            <m:sty m:val="p"/>
          </m:rPr>
          <m:t>*</m:t>
        </m:r>
        <m:r>
          <m:rPr>
            <m:sty m:val="p"/>
          </m:rPr>
          <m:t>*</m:t>
        </m:r>
      </m:oMath>
      <w:r>
        <w:rPr>
          <w:b/>
          <w:bCs/>
        </w:rPr>
        <w:t xml:space="preserve">0.16</w:t>
      </w:r>
      <w:r>
        <w:t xml:space="preserve">. This sensitivity makes even modest changes in booking and pricing trends highly consequential.</w:t>
      </w:r>
    </w:p>
    <w:p>
      <w:pPr>
        <w:pStyle w:val="BodyText"/>
      </w:pPr>
      <w:r>
        <w:t xml:space="preserve">A reiteration of the range could be received positively only if management also provides evidence that Q3 is tracking within expectations and that Q4/2027 booking momentum is improving. Conversely, a guide cut would likely be especially damaging because the market already understands that 2026 is a transition year.</w:t>
      </w:r>
    </w:p>
    <w:p>
      <w:r>
        <w:pict>
          <v:rect style="width:0;height:1.5pt" o:hralign="center" o:hrstd="t" o:hr="t"/>
        </w:pict>
      </w:r>
    </w:p>
    <w:bookmarkEnd w:id="15"/>
    <w:bookmarkStart w:id="16" w:name="balance-sheet-still-the-key-constraint"/>
    <w:p>
      <w:pPr>
        <w:pStyle w:val="Heading2"/>
      </w:pPr>
      <w:r>
        <w:t xml:space="preserve">Balance sheet: still the key constraint</w:t>
      </w:r>
    </w:p>
    <w:p>
      <w:pPr>
        <w:pStyle w:val="FirstParagraph"/>
      </w:pPr>
      <w:r>
        <w:t xml:space="preserve">NCLH ended 1Q26 with:</w:t>
      </w:r>
    </w:p>
    <w:p>
      <w:pPr>
        <w:pStyle w:val="Compact"/>
        <w:numPr>
          <w:ilvl w:val="0"/>
          <w:numId w:val="1003"/>
        </w:numPr>
      </w:pPr>
      <w:r>
        <w:rPr>
          <w:b/>
          <w:bCs/>
        </w:rPr>
        <w:t xml:space="preserve">$15.2 billion</w:t>
      </w:r>
      <w:r>
        <w:t xml:space="preserve"> </w:t>
      </w:r>
      <w:r>
        <w:t xml:space="preserve">of total debt;</w:t>
      </w:r>
    </w:p>
    <w:p>
      <w:pPr>
        <w:pStyle w:val="Compact"/>
        <w:numPr>
          <w:ilvl w:val="0"/>
          <w:numId w:val="1003"/>
        </w:numPr>
      </w:pPr>
      <w:r>
        <w:rPr>
          <w:b/>
          <w:bCs/>
        </w:rPr>
        <w:t xml:space="preserve">$15.0 billion</w:t>
      </w:r>
      <w:r>
        <w:t xml:space="preserve"> </w:t>
      </w:r>
      <w:r>
        <w:t xml:space="preserve">of net debt;</w:t>
      </w:r>
    </w:p>
    <w:p>
      <w:pPr>
        <w:pStyle w:val="Compact"/>
        <w:numPr>
          <w:ilvl w:val="0"/>
          <w:numId w:val="1003"/>
        </w:numPr>
      </w:pPr>
      <w:r>
        <w:rPr>
          <w:b/>
          <w:bCs/>
        </w:rPr>
        <w:t xml:space="preserve">5.3x</w:t>
      </w:r>
      <w:r>
        <w:t xml:space="preserve"> </w:t>
      </w:r>
      <w:r>
        <w:t xml:space="preserve">net leverage;</w:t>
      </w:r>
    </w:p>
    <w:p>
      <w:pPr>
        <w:pStyle w:val="Compact"/>
        <w:numPr>
          <w:ilvl w:val="0"/>
          <w:numId w:val="1003"/>
        </w:numPr>
      </w:pPr>
      <w:r>
        <w:t xml:space="preserve">approximately</w:t>
      </w:r>
      <w:r>
        <w:t xml:space="preserve"> </w:t>
      </w:r>
      <w:r>
        <w:rPr>
          <w:b/>
          <w:bCs/>
        </w:rPr>
        <w:t xml:space="preserve">$1.6 billion</w:t>
      </w:r>
      <w:r>
        <w:t xml:space="preserve"> </w:t>
      </w:r>
      <w:r>
        <w:t xml:space="preserve">of liquidity; and</w:t>
      </w:r>
    </w:p>
    <w:p>
      <w:pPr>
        <w:pStyle w:val="Compact"/>
        <w:numPr>
          <w:ilvl w:val="0"/>
          <w:numId w:val="1003"/>
        </w:numPr>
      </w:pPr>
      <w:r>
        <w:t xml:space="preserve">only</w:t>
      </w:r>
      <w:r>
        <w:t xml:space="preserve"> </w:t>
      </w:r>
      <w:r>
        <w:rPr>
          <w:b/>
          <w:bCs/>
        </w:rPr>
        <w:t xml:space="preserve">$185 million</w:t>
      </w:r>
      <w:r>
        <w:t xml:space="preserve"> </w:t>
      </w:r>
      <w:r>
        <w:t xml:space="preserve">of cash, with the remainder largely revolving-credit availability.</w:t>
      </w:r>
    </w:p>
    <w:p>
      <w:pPr>
        <w:pStyle w:val="FirstParagraph"/>
      </w:pPr>
      <w:r>
        <w:t xml:space="preserve">The company has emphasized that there are no significant debt maturities until 2030, which reduces near-term refinancing pressure. Still, leverage remains high relative to the company’s equity value and means operational setbacks have an amplified impact on the shareholder story.</w:t>
      </w:r>
    </w:p>
    <w:p>
      <w:pPr>
        <w:pStyle w:val="BodyText"/>
      </w:pPr>
      <w:r>
        <w:t xml:space="preserve">The longer-term bull case rests on a favorable cash-flow inflection: NCLH expects growth/newbuild capital expenditures net of financing to decline from roughly</w:t>
      </w:r>
      <w:r>
        <w:t xml:space="preserve"> </w:t>
      </w:r>
      <m:oMath>
        <m:r>
          <m:t>1.3</m:t>
        </m:r>
        <m:r>
          <m:t>b</m:t>
        </m:r>
        <m:r>
          <m:t>i</m:t>
        </m:r>
        <m:r>
          <m:t>l</m:t>
        </m:r>
        <m:r>
          <m:t>l</m:t>
        </m:r>
        <m:r>
          <m:t>i</m:t>
        </m:r>
        <m:r>
          <m:t>o</m:t>
        </m:r>
        <m:r>
          <m:t>n</m:t>
        </m:r>
        <m:r>
          <m:t>i</m:t>
        </m:r>
        <m:r>
          <m:t>n</m:t>
        </m:r>
        <m:r>
          <m:t>2026</m:t>
        </m:r>
        <m:r>
          <m:rPr>
            <m:sty m:val="p"/>
          </m:rPr>
          <m:t>*</m:t>
        </m:r>
        <m:r>
          <m:rPr>
            <m:sty m:val="p"/>
          </m:rPr>
          <m:t>*</m:t>
        </m:r>
        <m:r>
          <m:t>t</m:t>
        </m:r>
        <m:r>
          <m:t>o</m:t>
        </m:r>
        <m:r>
          <m:rPr>
            <m:sty m:val="p"/>
          </m:rPr>
          <m:t>*</m:t>
        </m:r>
        <m:r>
          <m:rPr>
            <m:sty m:val="p"/>
          </m:rPr>
          <m:t>*</m:t>
        </m:r>
      </m:oMath>
      <w:r>
        <w:rPr>
          <w:b/>
          <w:bCs/>
        </w:rPr>
        <w:t xml:space="preserve">0.9 billion in 2027</w:t>
      </w:r>
      <w:r>
        <w:t xml:space="preserve"> </w:t>
      </w:r>
      <w:r>
        <w:t xml:space="preserve">and</w:t>
      </w:r>
      <w:r>
        <w:t xml:space="preserve"> </w:t>
      </w:r>
      <w:r>
        <w:rPr>
          <w:b/>
          <w:bCs/>
        </w:rPr>
        <w:t xml:space="preserve">$0.5 billion in 2028</w:t>
      </w:r>
      <w:r>
        <w:t xml:space="preserve">. But that deleveraging opportunity depends on rebuilding EBITDA and avoiding further yield pressure.</w:t>
      </w:r>
    </w:p>
    <w:p>
      <w:r>
        <w:pict>
          <v:rect style="width:0;height:1.5pt" o:hralign="center" o:hrstd="t" o:hr="t"/>
        </w:pict>
      </w:r>
    </w:p>
    <w:bookmarkEnd w:id="16"/>
    <w:bookmarkStart w:id="19" w:name="catalysts-and-risks-into-the-call"/>
    <w:p>
      <w:pPr>
        <w:pStyle w:val="Heading2"/>
      </w:pPr>
      <w:r>
        <w:t xml:space="preserve">Catalysts and risks into the call</w:t>
      </w:r>
    </w:p>
    <w:bookmarkStart w:id="17" w:name="potential-positives"/>
    <w:p>
      <w:pPr>
        <w:pStyle w:val="Heading3"/>
      </w:pPr>
      <w:r>
        <w:t xml:space="preserve">Potential positives</w:t>
      </w:r>
    </w:p>
    <w:p>
      <w:pPr>
        <w:pStyle w:val="Compact"/>
        <w:numPr>
          <w:ilvl w:val="0"/>
          <w:numId w:val="1004"/>
        </w:numPr>
      </w:pPr>
      <w:r>
        <w:t xml:space="preserve">Q2 EBITDA and EPS above the $632 million / $0.38 guide.</w:t>
      </w:r>
    </w:p>
    <w:p>
      <w:pPr>
        <w:pStyle w:val="Compact"/>
        <w:numPr>
          <w:ilvl w:val="0"/>
          <w:numId w:val="1004"/>
        </w:numPr>
      </w:pPr>
      <w:r>
        <w:t xml:space="preserve">Better-than-guided Net Yield or occupancy, especially given the weak prior framing.</w:t>
      </w:r>
    </w:p>
    <w:p>
      <w:pPr>
        <w:pStyle w:val="Compact"/>
        <w:numPr>
          <w:ilvl w:val="0"/>
          <w:numId w:val="1004"/>
        </w:numPr>
      </w:pPr>
      <w:r>
        <w:t xml:space="preserve">Commentary that Q3 Europe cancellations and close-in pricing have stabilized.</w:t>
      </w:r>
    </w:p>
    <w:p>
      <w:pPr>
        <w:pStyle w:val="Compact"/>
        <w:numPr>
          <w:ilvl w:val="0"/>
          <w:numId w:val="1004"/>
        </w:numPr>
      </w:pPr>
      <w:r>
        <w:t xml:space="preserve">Early evidence that new marketing, revenue-management hires, and non-commissionable-fare initiatives are improving demand generation.</w:t>
      </w:r>
    </w:p>
    <w:p>
      <w:pPr>
        <w:pStyle w:val="Compact"/>
        <w:numPr>
          <w:ilvl w:val="0"/>
          <w:numId w:val="1004"/>
        </w:numPr>
      </w:pPr>
      <w:r>
        <w:t xml:space="preserve">Strong demand and monetization commentary surrounding Great Stirrup Cay and the late-summer opening of the Great Tides Waterpark.</w:t>
      </w:r>
    </w:p>
    <w:p>
      <w:pPr>
        <w:pStyle w:val="Compact"/>
        <w:numPr>
          <w:ilvl w:val="0"/>
          <w:numId w:val="1004"/>
        </w:numPr>
      </w:pPr>
      <w:r>
        <w:t xml:space="preserve">Reiteration of 2026 guidance with a tighter or more confident outlook for 2027.</w:t>
      </w:r>
    </w:p>
    <w:bookmarkEnd w:id="17"/>
    <w:bookmarkStart w:id="18" w:name="principal-risks"/>
    <w:p>
      <w:pPr>
        <w:pStyle w:val="Heading3"/>
      </w:pPr>
      <w:r>
        <w:t xml:space="preserve">Principal risks</w:t>
      </w:r>
    </w:p>
    <w:p>
      <w:pPr>
        <w:pStyle w:val="Compact"/>
        <w:numPr>
          <w:ilvl w:val="0"/>
          <w:numId w:val="1005"/>
        </w:numPr>
      </w:pPr>
      <w:r>
        <w:t xml:space="preserve">A Q3 yield outlook that confirms, or worsens beyond, high-single-digit negative Net Yield.</w:t>
      </w:r>
    </w:p>
    <w:p>
      <w:pPr>
        <w:pStyle w:val="Compact"/>
        <w:numPr>
          <w:ilvl w:val="0"/>
          <w:numId w:val="1005"/>
        </w:numPr>
      </w:pPr>
      <w:r>
        <w:t xml:space="preserve">Another full-year EBITDA or EPS reduction.</w:t>
      </w:r>
    </w:p>
    <w:p>
      <w:pPr>
        <w:pStyle w:val="Compact"/>
        <w:numPr>
          <w:ilvl w:val="0"/>
          <w:numId w:val="1005"/>
        </w:numPr>
      </w:pPr>
      <w:r>
        <w:t xml:space="preserve">Continued underperformance in Caribbean, Alaska, or North American sailings—not only Europe.</w:t>
      </w:r>
    </w:p>
    <w:p>
      <w:pPr>
        <w:pStyle w:val="Compact"/>
        <w:numPr>
          <w:ilvl w:val="0"/>
          <w:numId w:val="1005"/>
        </w:numPr>
      </w:pPr>
      <w:r>
        <w:t xml:space="preserve">Further fuel, airfare, and logistics inflation.</w:t>
      </w:r>
    </w:p>
    <w:p>
      <w:pPr>
        <w:pStyle w:val="Compact"/>
        <w:numPr>
          <w:ilvl w:val="0"/>
          <w:numId w:val="1005"/>
        </w:numPr>
      </w:pPr>
      <w:r>
        <w:t xml:space="preserve">More evidence that NCLH is losing share or has to discount more aggressively than peers.</w:t>
      </w:r>
    </w:p>
    <w:p>
      <w:pPr>
        <w:pStyle w:val="Compact"/>
        <w:numPr>
          <w:ilvl w:val="0"/>
          <w:numId w:val="1005"/>
        </w:numPr>
      </w:pPr>
      <w:r>
        <w:t xml:space="preserve">Deterioration in leverage or liquidity metrics as capital spending remains elevated.</w:t>
      </w:r>
    </w:p>
    <w:p>
      <w:r>
        <w:pict>
          <v:rect style="width:0;height:1.5pt" o:hralign="center" o:hrstd="t" o:hr="t"/>
        </w:pict>
      </w:r>
    </w:p>
    <w:bookmarkEnd w:id="18"/>
    <w:bookmarkEnd w:id="19"/>
    <w:bookmarkStart w:id="20" w:name="stock-setup"/>
    <w:p>
      <w:pPr>
        <w:pStyle w:val="Heading2"/>
      </w:pPr>
      <w:r>
        <w:t xml:space="preserve">Stock setup</w:t>
      </w:r>
    </w:p>
    <w:p>
      <w:pPr>
        <w:pStyle w:val="FirstParagraph"/>
      </w:pPr>
      <w:r>
        <w:t xml:space="preserve">NCLH closed at</w:t>
      </w:r>
      <w:r>
        <w:t xml:space="preserve"> </w:t>
      </w:r>
      <w:r>
        <w:rPr>
          <w:b/>
          <w:bCs/>
        </w:rPr>
        <w:t xml:space="preserve">$20.855 on July 29</w:t>
      </w:r>
      <w:r>
        <w:t xml:space="preserve">, up about</w:t>
      </w:r>
      <w:r>
        <w:t xml:space="preserve"> </w:t>
      </w:r>
      <w:r>
        <w:rPr>
          <w:b/>
          <w:bCs/>
        </w:rPr>
        <w:t xml:space="preserve">21%</w:t>
      </w:r>
      <w:r>
        <w:t xml:space="preserve"> </w:t>
      </w:r>
      <w:r>
        <w:t xml:space="preserve">from its May 4 close immediately following the first-quarter release, but down roughly</w:t>
      </w:r>
      <w:r>
        <w:t xml:space="preserve"> </w:t>
      </w:r>
      <w:r>
        <w:rPr>
          <w:b/>
          <w:bCs/>
        </w:rPr>
        <w:t xml:space="preserve">5%</w:t>
      </w:r>
      <w:r>
        <w:t xml:space="preserve"> </w:t>
      </w:r>
      <w:r>
        <w:t xml:space="preserve">from its late-June high.</w:t>
      </w:r>
    </w:p>
    <w:p>
      <w:pPr>
        <w:pStyle w:val="BodyText"/>
      </w:pPr>
      <w:r>
        <w:t xml:space="preserve">That recovery suggests some investor willingness to underwrite the turnaround and cost-reset narrative. But the stock is still positioned as a high-beta execution story: the market is likely to reward proof that the commercial trajectory is bottoming, while penalizing any indication that the Q3 European exposure or broader Norwegian-brand demand issues require another reset.</w:t>
      </w:r>
    </w:p>
    <w:bookmarkEnd w:id="20"/>
    <w:bookmarkStart w:id="21" w:name="investor-takeaway"/>
    <w:p>
      <w:pPr>
        <w:pStyle w:val="Heading2"/>
      </w:pPr>
      <w:r>
        <w:t xml:space="preserve">Investor takeaway</w:t>
      </w:r>
    </w:p>
    <w:p>
      <w:pPr>
        <w:pStyle w:val="FirstParagraph"/>
      </w:pPr>
      <w:r>
        <w:rPr>
          <w:b/>
          <w:bCs/>
        </w:rPr>
        <w:t xml:space="preserve">Expect a guidance-and-bookings call, not just an earnings call.</w:t>
      </w:r>
      <w:r>
        <w:t xml:space="preserve"> </w:t>
      </w:r>
      <w:r>
        <w:t xml:space="preserve">Meeting Q2 guidance would demonstrate operational control but is unlikely by itself to settle the debate. The decisive items are the implied Q3 yield trajectory, close-in demand trends, the state of the 2027 booking curve, and whether management can show that NCLH’s underperformance versus peers is beginning to narrow.</w:t>
      </w:r>
    </w:p>
    <w:p>
      <w:pPr>
        <w:pStyle w:val="BodyText"/>
      </w:pPr>
      <w:r>
        <w:t xml:space="preserve">The upside case is straightforward: cost savings materialize, Great Stirrup Cay strengthens Caribbean demand and onboard spend, marketing/revenue management execution improves, and 2027 becomes a meaningful recovery year. The bear case is that NCLH’s operational missteps and high leverage leave it structurally more exposed to an otherwise manageable travel or geopolitical disruption.</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2026-07-29T18:01:43Z</dcterms:created>
  <dcterms:modified xsi:type="dcterms:W3CDTF">2026-07-29T18:01:43Z</dcterms:modified>
</cp:coreProperties>
</file>

<file path=docProps/custom.xml><?xml version="1.0" encoding="utf-8"?>
<Properties xmlns="http://schemas.openxmlformats.org/officeDocument/2006/custom-properties" xmlns:vt="http://schemas.openxmlformats.org/officeDocument/2006/docPropsVTypes"/>
</file>