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Norwegian Cruise Line Holdings (NCLH)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NCLH</w:t>
            </w:r>
          </w:p>
        </w:tc>
        <w:tc>
          <w:tcPr>
            <w:tcW w:type="dxa" w:w="2160"/>
          </w:tcPr>
          <w:p>
            <w:r>
              <w:rPr>
                <w:rFonts w:ascii="Calibri" w:hAnsi="Calibri"/>
                <w:b/>
                <w:sz w:val="22"/>
              </w:rPr>
              <w:t>Earnings Date</w:t>
            </w:r>
          </w:p>
        </w:tc>
        <w:tc>
          <w:tcPr>
            <w:tcW w:type="dxa" w:w="2160"/>
          </w:tcPr>
          <w:p>
            <w:r>
              <w:rPr>
                <w:rFonts w:ascii="Calibri" w:hAnsi="Calibri"/>
                <w:sz w:val="22"/>
              </w:rPr>
              <w:t>July 30, 2026 (BMO)</w:t>
            </w:r>
          </w:p>
        </w:tc>
      </w:tr>
      <w:tr>
        <w:tc>
          <w:tcPr>
            <w:tcW w:type="dxa" w:w="2160"/>
          </w:tcPr>
          <w:p>
            <w:r>
              <w:rPr>
                <w:rFonts w:ascii="Calibri" w:hAnsi="Calibri"/>
                <w:b/>
                <w:sz w:val="22"/>
              </w:rPr>
              <w:t>Reporting Period</w:t>
            </w:r>
          </w:p>
        </w:tc>
        <w:tc>
          <w:tcPr>
            <w:tcW w:type="dxa" w:w="2160"/>
          </w:tcPr>
          <w:p>
            <w:r>
              <w:rPr>
                <w:rFonts w:ascii="Calibri" w:hAnsi="Calibri"/>
                <w:sz w:val="22"/>
              </w:rPr>
              <w:t>Q2 2026</w:t>
            </w:r>
          </w:p>
        </w:tc>
        <w:tc>
          <w:tcPr>
            <w:tcW w:type="dxa" w:w="2160"/>
          </w:tcPr>
          <w:p>
            <w:r>
              <w:rPr>
                <w:rFonts w:ascii="Calibri" w:hAnsi="Calibri"/>
                <w:b/>
                <w:sz w:val="22"/>
              </w:rPr>
              <w:t>Prepared Date</w:t>
            </w:r>
          </w:p>
        </w:tc>
        <w:tc>
          <w:tcPr>
            <w:tcW w:type="dxa" w:w="2160"/>
          </w:tcPr>
          <w:p>
            <w:r>
              <w:rPr>
                <w:rFonts w:ascii="Calibri" w:hAnsi="Calibri"/>
                <w:sz w:val="22"/>
              </w:rPr>
              <w:t>July 29, 2026</w:t>
            </w:r>
          </w:p>
        </w:tc>
      </w:tr>
      <w:tr>
        <w:tc>
          <w:tcPr>
            <w:tcW w:type="dxa" w:w="2160"/>
          </w:tcPr>
          <w:p>
            <w:r>
              <w:rPr>
                <w:rFonts w:ascii="Calibri" w:hAnsi="Calibri"/>
                <w:b/>
                <w:sz w:val="22"/>
              </w:rPr>
              <w:t>Exchange</w:t>
            </w:r>
          </w:p>
        </w:tc>
        <w:tc>
          <w:tcPr>
            <w:tcW w:type="dxa" w:w="2160"/>
          </w:tcPr>
          <w:p>
            <w:r>
              <w:rPr>
                <w:rFonts w:ascii="Calibri" w:hAnsi="Calibri"/>
                <w:sz w:val="22"/>
              </w:rPr>
              <w:t>NYSE</w:t>
            </w:r>
          </w:p>
        </w:tc>
        <w:tc>
          <w:tcPr>
            <w:tcW w:type="dxa" w:w="2160"/>
          </w:tcPr>
          <w:p>
            <w:r>
              <w:rPr>
                <w:rFonts w:ascii="Calibri" w:hAnsi="Calibri"/>
                <w:b/>
                <w:sz w:val="22"/>
              </w:rPr>
              <w:t>Sector</w:t>
            </w:r>
          </w:p>
        </w:tc>
        <w:tc>
          <w:tcPr>
            <w:tcW w:type="dxa" w:w="2160"/>
          </w:tcPr>
          <w:p>
            <w:r>
              <w:rPr>
                <w:rFonts w:ascii="Calibri" w:hAnsi="Calibri"/>
                <w:sz w:val="22"/>
              </w:rPr>
              <w:t>Consumer Discretionary / Cruise Lines</w:t>
            </w:r>
          </w:p>
        </w:tc>
      </w:tr>
    </w:tbl>
    <w:p>
      <w:r>
        <w:rPr>
          <w:rFonts w:ascii="Calibri" w:hAnsi="Calibri"/>
          <w:color w:val="525866"/>
          <w:sz w:val="22"/>
        </w:rPr>
        <w:t>Source: Visible Alpha consensus and actuals data. All figures in constant currency unless noted.</w:t>
      </w:r>
    </w:p>
    <w:p>
      <w:pPr>
        <w:pStyle w:val="Heading3"/>
      </w:pPr>
      <w:r>
        <w:rPr>
          <w:rFonts w:ascii="Calibri" w:hAnsi="Calibri"/>
          <w:b/>
          <w:color w:val="3B4259"/>
          <w:sz w:val="24"/>
        </w:rPr>
        <w:t>Table 2 — Beat/Miss History (Last 8 Quarters, Top 2 KPIs)</w:t>
      </w:r>
    </w:p>
    <w:p>
      <w:r>
        <w:rPr>
          <w:rFonts w:ascii="Calibri" w:hAnsi="Calibri"/>
          <w:b/>
          <w:color w:val="525866"/>
          <w:sz w:val="22"/>
        </w:rPr>
        <w:t>KPI 1: Net Yield — Constant Currency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+6.3%</w:t>
            </w:r>
          </w:p>
        </w:tc>
        <w:tc>
          <w:tcPr>
            <w:tcW w:type="dxa" w:w="1728"/>
          </w:tcPr>
          <w:p>
            <w:r>
              <w:rPr>
                <w:rFonts w:ascii="Calibri" w:hAnsi="Calibri"/>
                <w:sz w:val="22"/>
              </w:rPr>
              <w:t>+5.6%</w:t>
            </w:r>
          </w:p>
        </w:tc>
        <w:tc>
          <w:tcPr>
            <w:tcW w:type="dxa" w:w="1728"/>
          </w:tcPr>
          <w:p>
            <w:r>
              <w:rPr>
                <w:rFonts w:ascii="Calibri" w:hAnsi="Calibri"/>
                <w:b/>
                <w:color w:val="30A46C"/>
                <w:sz w:val="22"/>
              </w:rPr>
              <w:t>+0.7 pts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+9.0%</w:t>
            </w:r>
          </w:p>
        </w:tc>
        <w:tc>
          <w:tcPr>
            <w:tcW w:type="dxa" w:w="1728"/>
          </w:tcPr>
          <w:p>
            <w:r>
              <w:rPr>
                <w:rFonts w:ascii="Calibri" w:hAnsi="Calibri"/>
                <w:sz w:val="22"/>
              </w:rPr>
              <w:t>+6.9%</w:t>
            </w:r>
          </w:p>
        </w:tc>
        <w:tc>
          <w:tcPr>
            <w:tcW w:type="dxa" w:w="1728"/>
          </w:tcPr>
          <w:p>
            <w:r>
              <w:rPr>
                <w:rFonts w:ascii="Calibri" w:hAnsi="Calibri"/>
                <w:b/>
                <w:color w:val="30A46C"/>
                <w:sz w:val="22"/>
              </w:rPr>
              <w:t>+2.1 pts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+9.0%</w:t>
            </w:r>
          </w:p>
        </w:tc>
        <w:tc>
          <w:tcPr>
            <w:tcW w:type="dxa" w:w="1728"/>
          </w:tcPr>
          <w:p>
            <w:r>
              <w:rPr>
                <w:rFonts w:ascii="Calibri" w:hAnsi="Calibri"/>
                <w:sz w:val="22"/>
              </w:rPr>
              <w:t>+7.8%</w:t>
            </w:r>
          </w:p>
        </w:tc>
        <w:tc>
          <w:tcPr>
            <w:tcW w:type="dxa" w:w="1728"/>
          </w:tcPr>
          <w:p>
            <w:r>
              <w:rPr>
                <w:rFonts w:ascii="Calibri" w:hAnsi="Calibri"/>
                <w:b/>
                <w:color w:val="30A46C"/>
                <w:sz w:val="22"/>
              </w:rPr>
              <w:t>+1.2 pts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+1.2%</w:t>
            </w:r>
          </w:p>
        </w:tc>
        <w:tc>
          <w:tcPr>
            <w:tcW w:type="dxa" w:w="1728"/>
          </w:tcPr>
          <w:p>
            <w:r>
              <w:rPr>
                <w:rFonts w:ascii="Calibri" w:hAnsi="Calibri"/>
                <w:sz w:val="22"/>
              </w:rPr>
              <w:t>+0.4%</w:t>
            </w:r>
          </w:p>
        </w:tc>
        <w:tc>
          <w:tcPr>
            <w:tcW w:type="dxa" w:w="1728"/>
          </w:tcPr>
          <w:p>
            <w:r>
              <w:rPr>
                <w:rFonts w:ascii="Calibri" w:hAnsi="Calibri"/>
                <w:b/>
                <w:color w:val="30A46C"/>
                <w:sz w:val="22"/>
              </w:rPr>
              <w:t>+0.8 pts</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+3.1%</w:t>
            </w:r>
          </w:p>
        </w:tc>
        <w:tc>
          <w:tcPr>
            <w:tcW w:type="dxa" w:w="1728"/>
          </w:tcPr>
          <w:p>
            <w:r>
              <w:rPr>
                <w:rFonts w:ascii="Calibri" w:hAnsi="Calibri"/>
                <w:sz w:val="22"/>
              </w:rPr>
              <w:t>+2.9%</w:t>
            </w:r>
          </w:p>
        </w:tc>
        <w:tc>
          <w:tcPr>
            <w:tcW w:type="dxa" w:w="1728"/>
          </w:tcPr>
          <w:p>
            <w:r>
              <w:rPr>
                <w:rFonts w:ascii="Calibri" w:hAnsi="Calibri"/>
                <w:b/>
                <w:color w:val="30A46C"/>
                <w:sz w:val="22"/>
              </w:rPr>
              <w:t>+0.2 pts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+1.5%</w:t>
            </w:r>
          </w:p>
        </w:tc>
        <w:tc>
          <w:tcPr>
            <w:tcW w:type="dxa" w:w="1728"/>
          </w:tcPr>
          <w:p>
            <w:r>
              <w:rPr>
                <w:rFonts w:ascii="Calibri" w:hAnsi="Calibri"/>
                <w:sz w:val="22"/>
              </w:rPr>
              <w:t>+1.8%</w:t>
            </w:r>
          </w:p>
        </w:tc>
        <w:tc>
          <w:tcPr>
            <w:tcW w:type="dxa" w:w="1728"/>
          </w:tcPr>
          <w:p>
            <w:r>
              <w:rPr>
                <w:rFonts w:ascii="Calibri" w:hAnsi="Calibri"/>
                <w:b/>
                <w:color w:val="E5484D"/>
                <w:sz w:val="22"/>
              </w:rPr>
              <w:t>-0.3 pts</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+3.8%</w:t>
            </w:r>
          </w:p>
        </w:tc>
        <w:tc>
          <w:tcPr>
            <w:tcW w:type="dxa" w:w="1728"/>
          </w:tcPr>
          <w:p>
            <w:r>
              <w:rPr>
                <w:rFonts w:ascii="Calibri" w:hAnsi="Calibri"/>
                <w:sz w:val="22"/>
              </w:rPr>
              <w:t>+3.6%</w:t>
            </w:r>
          </w:p>
        </w:tc>
        <w:tc>
          <w:tcPr>
            <w:tcW w:type="dxa" w:w="1728"/>
          </w:tcPr>
          <w:p>
            <w:r>
              <w:rPr>
                <w:rFonts w:ascii="Calibri" w:hAnsi="Calibri"/>
                <w:b/>
                <w:color w:val="30A46C"/>
                <w:sz w:val="22"/>
              </w:rPr>
              <w:t>+0.2 pts</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-1.0%</w:t>
            </w:r>
          </w:p>
        </w:tc>
        <w:tc>
          <w:tcPr>
            <w:tcW w:type="dxa" w:w="1728"/>
          </w:tcPr>
          <w:p>
            <w:r>
              <w:rPr>
                <w:rFonts w:ascii="Calibri" w:hAnsi="Calibri"/>
                <w:sz w:val="22"/>
              </w:rPr>
              <w:t>-1.4%</w:t>
            </w:r>
          </w:p>
        </w:tc>
        <w:tc>
          <w:tcPr>
            <w:tcW w:type="dxa" w:w="1728"/>
          </w:tcPr>
          <w:p>
            <w:r>
              <w:rPr>
                <w:rFonts w:ascii="Calibri" w:hAnsi="Calibri"/>
                <w:b/>
                <w:color w:val="30A46C"/>
                <w:sz w:val="22"/>
              </w:rPr>
              <w:t>+0.4 pts</w:t>
            </w:r>
          </w:p>
        </w:tc>
        <w:tc>
          <w:tcPr>
            <w:tcW w:type="dxa" w:w="1728"/>
          </w:tcPr>
          <w:p>
            <w:r>
              <w:rPr>
                <w:rFonts w:ascii="Calibri" w:hAnsi="Calibri"/>
                <w:sz w:val="22"/>
              </w:rPr>
              <w:t>Beat</w:t>
            </w:r>
          </w:p>
        </w:tc>
      </w:tr>
    </w:tbl>
    <w:p>
      <w:r>
        <w:rPr>
          <w:rFonts w:ascii="Calibri" w:hAnsi="Calibri"/>
          <w:b/>
          <w:color w:val="525866"/>
          <w:sz w:val="22"/>
        </w:rPr>
        <w:t>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$0.39</w:t>
            </w:r>
          </w:p>
        </w:tc>
        <w:tc>
          <w:tcPr>
            <w:tcW w:type="dxa" w:w="1728"/>
          </w:tcPr>
          <w:p>
            <w:r>
              <w:rPr>
                <w:rFonts w:ascii="Calibri" w:hAnsi="Calibri"/>
                <w:sz w:val="22"/>
              </w:rPr>
              <w:t>$0.34</w:t>
            </w:r>
          </w:p>
        </w:tc>
        <w:tc>
          <w:tcPr>
            <w:tcW w:type="dxa" w:w="1728"/>
          </w:tcPr>
          <w:p>
            <w:r>
              <w:rPr>
                <w:rFonts w:ascii="Calibri" w:hAnsi="Calibri"/>
                <w:b/>
                <w:color w:val="30A46C"/>
                <w:sz w:val="22"/>
              </w:rPr>
              <w:t>+13.3%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$1.02</w:t>
            </w:r>
          </w:p>
        </w:tc>
        <w:tc>
          <w:tcPr>
            <w:tcW w:type="dxa" w:w="1728"/>
          </w:tcPr>
          <w:p>
            <w:r>
              <w:rPr>
                <w:rFonts w:ascii="Calibri" w:hAnsi="Calibri"/>
                <w:sz w:val="22"/>
              </w:rPr>
              <w:t>$0.94</w:t>
            </w:r>
          </w:p>
        </w:tc>
        <w:tc>
          <w:tcPr>
            <w:tcW w:type="dxa" w:w="1728"/>
          </w:tcPr>
          <w:p>
            <w:r>
              <w:rPr>
                <w:rFonts w:ascii="Calibri" w:hAnsi="Calibri"/>
                <w:b/>
                <w:color w:val="30A46C"/>
                <w:sz w:val="22"/>
              </w:rPr>
              <w:t>+8.5%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$0.19</w:t>
            </w:r>
          </w:p>
        </w:tc>
        <w:tc>
          <w:tcPr>
            <w:tcW w:type="dxa" w:w="1728"/>
          </w:tcPr>
          <w:p>
            <w:r>
              <w:rPr>
                <w:rFonts w:ascii="Calibri" w:hAnsi="Calibri"/>
                <w:sz w:val="22"/>
              </w:rPr>
              <w:t>$0.11</w:t>
            </w:r>
          </w:p>
        </w:tc>
        <w:tc>
          <w:tcPr>
            <w:tcW w:type="dxa" w:w="1728"/>
          </w:tcPr>
          <w:p>
            <w:r>
              <w:rPr>
                <w:rFonts w:ascii="Calibri" w:hAnsi="Calibri"/>
                <w:b/>
                <w:color w:val="30A46C"/>
                <w:sz w:val="22"/>
              </w:rPr>
              <w:t>+75.9%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$0.11</w:t>
            </w:r>
          </w:p>
        </w:tc>
        <w:tc>
          <w:tcPr>
            <w:tcW w:type="dxa" w:w="1728"/>
          </w:tcPr>
          <w:p>
            <w:r>
              <w:rPr>
                <w:rFonts w:ascii="Calibri" w:hAnsi="Calibri"/>
                <w:sz w:val="22"/>
              </w:rPr>
              <w:t>$0.09</w:t>
            </w:r>
          </w:p>
        </w:tc>
        <w:tc>
          <w:tcPr>
            <w:tcW w:type="dxa" w:w="1728"/>
          </w:tcPr>
          <w:p>
            <w:r>
              <w:rPr>
                <w:rFonts w:ascii="Calibri" w:hAnsi="Calibri"/>
                <w:b/>
                <w:color w:val="30A46C"/>
                <w:sz w:val="22"/>
              </w:rPr>
              <w:t>+20.4%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$0.51</w:t>
            </w:r>
          </w:p>
        </w:tc>
        <w:tc>
          <w:tcPr>
            <w:tcW w:type="dxa" w:w="1728"/>
          </w:tcPr>
          <w:p>
            <w:r>
              <w:rPr>
                <w:rFonts w:ascii="Calibri" w:hAnsi="Calibri"/>
                <w:sz w:val="22"/>
              </w:rPr>
              <w:t>$0.52</w:t>
            </w:r>
          </w:p>
        </w:tc>
        <w:tc>
          <w:tcPr>
            <w:tcW w:type="dxa" w:w="1728"/>
          </w:tcPr>
          <w:p>
            <w:r>
              <w:rPr>
                <w:rFonts w:ascii="Calibri" w:hAnsi="Calibri"/>
                <w:b/>
                <w:color w:val="E5484D"/>
                <w:sz w:val="22"/>
              </w:rPr>
              <w:t>-1.4%</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$1.20</w:t>
            </w:r>
          </w:p>
        </w:tc>
        <w:tc>
          <w:tcPr>
            <w:tcW w:type="dxa" w:w="1728"/>
          </w:tcPr>
          <w:p>
            <w:r>
              <w:rPr>
                <w:rFonts w:ascii="Calibri" w:hAnsi="Calibri"/>
                <w:sz w:val="22"/>
              </w:rPr>
              <w:t>$1.16</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$0.28</w:t>
            </w:r>
          </w:p>
        </w:tc>
        <w:tc>
          <w:tcPr>
            <w:tcW w:type="dxa" w:w="1728"/>
          </w:tcPr>
          <w:p>
            <w:r>
              <w:rPr>
                <w:rFonts w:ascii="Calibri" w:hAnsi="Calibri"/>
                <w:sz w:val="22"/>
              </w:rPr>
              <w:t>$0.26</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$0.23</w:t>
            </w:r>
          </w:p>
        </w:tc>
        <w:tc>
          <w:tcPr>
            <w:tcW w:type="dxa" w:w="1728"/>
          </w:tcPr>
          <w:p>
            <w:r>
              <w:rPr>
                <w:rFonts w:ascii="Calibri" w:hAnsi="Calibri"/>
                <w:sz w:val="22"/>
              </w:rPr>
              <w:t>$0.14</w:t>
            </w:r>
          </w:p>
        </w:tc>
        <w:tc>
          <w:tcPr>
            <w:tcW w:type="dxa" w:w="1728"/>
          </w:tcPr>
          <w:p>
            <w:r>
              <w:rPr>
                <w:rFonts w:ascii="Calibri" w:hAnsi="Calibri"/>
                <w:b/>
                <w:color w:val="30A46C"/>
                <w:sz w:val="22"/>
              </w:rPr>
              <w:t>+59.2%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NCLH has beaten Adjusted EPS consensus in 7 of the last 8 quarters, often by wide margins — but the beats have been driven by cost discipline and below-the-line items rather than top-line strength, and the Q1 2026 beat was overwhelmed by the severity of the full-year guidance cut. Net yield has beaten in 7 of 8 quarters as well, though the magnitude of beats has narrowed materially as the booking environment deteriorated. Source: Visible Alpha consensus and actuals data.</w:t>
      </w:r>
    </w:p>
    <w:p>
      <w:r>
        <w:br w:type="page"/>
      </w:r>
    </w:p>
    <w:p>
      <w:r>
        <w:rPr>
          <w:rFonts w:ascii="Calibri" w:hAnsi="Calibri"/>
          <w:color w:val="525866"/>
          <w:sz w:val="22"/>
        </w:rPr>
        <w:t>Management tone on the Q1 call was explicitly turnaround-framed: CEO Chidsey described the Norwegian brand's issues as "self-inflicted wounds" and stated the company is "not comparable to peers at the moment." Key structural actions announced include a $125M annualized SG&amp;A reduction (15% workforce cut, marketing spend reduction, offshoring pilots), Phase 1 of a new revenue management system, and new marketing leadership at NCL. No 8-K guidance revision or investor day update has been issued since the May 4 call. The next formal guidance update will come with Q2 results on July 30.</w:t>
      </w:r>
    </w:p>
    <w:p>
      <w:r>
        <w:br w:type="page"/>
      </w:r>
    </w:p>
    <w:p>
      <w:r>
        <w:rPr>
          <w:rFonts w:ascii="Calibri" w:hAnsi="Calibri"/>
          <w:color w:val="525866"/>
          <w:sz w:val="22"/>
        </w:rPr>
        <w:t>Estimates have barely moved since the Q1 print — the largest revision is a modest +2.3% drift upward in FY2026 Adjusted EPS, likely reflecting cost savings optimism rather than any revenue recovery signal. Consensus sits near the midpoint of all guidance ranges, implying the street is not pricing in either a recovery or a further deterioration. Source: Visible Alpha consensus and actuals data.</w:t>
      </w:r>
    </w:p>
    <w:p>
      <w:r>
        <w:br w:type="page"/>
      </w:r>
    </w:p>
    <w:p>
      <w:pPr>
        <w:pStyle w:val="Heading3"/>
      </w:pPr>
      <w:r>
        <w:rPr>
          <w:rFonts w:ascii="Calibri" w:hAnsi="Calibri"/>
          <w:b/>
          <w:color w:val="3B4259"/>
          <w:sz w:val="24"/>
        </w:rPr>
        <w:t>Carnival Corporation (CCL) — Q2 2026 Earnings (Reported June 23, 2026)</w:t>
      </w:r>
    </w:p>
    <w:p>
      <w:pPr>
        <w:pStyle w:val="ListBullet"/>
        <w:ind w:left="360" w:hanging="360"/>
      </w:pPr>
      <w:r>
        <w:rPr>
          <w:rFonts w:ascii="Calibri" w:hAnsi="Calibri"/>
          <w:b/>
          <w:color w:val="525866"/>
          <w:sz w:val="22"/>
        </w:rPr>
        <w:t xml:space="preserve">12th consecutive quarter of record yields despite geopolitical headwinds: </w:t>
      </w:r>
      <w:r>
        <w:rPr>
          <w:rFonts w:ascii="Calibri" w:hAnsi="Calibri"/>
          <w:color w:val="525866"/>
          <w:sz w:val="22"/>
        </w:rPr>
        <w:t xml:space="preserve">CCL reported Q2 yields up +2.2% YoY, outperforming March guidance, driven by resilient close-in demand and robust onboard spending. Achieved despite "extreme geopolitical volatility," "historically low consumer sentiment," and "unusually high fuel prices." </w:t>
      </w:r>
      <w:r>
        <w:rPr>
          <w:rFonts w:ascii="Calibri" w:hAnsi="Calibri"/>
          <w:i/>
          <w:color w:val="525866"/>
          <w:sz w:val="22"/>
        </w:rPr>
        <w:t xml:space="preserve">Read-through: </w:t>
      </w:r>
      <w:r>
        <w:rPr>
          <w:rFonts w:ascii="Calibri" w:hAnsi="Calibri"/>
          <w:color w:val="525866"/>
          <w:sz w:val="22"/>
        </w:rPr>
        <w:t>Positive for cruise sector demand durability, but CCL's stronger booking curve and brand diversification make direct yield comparison to NCLH difficult.</w:t>
      </w:r>
    </w:p>
    <w:p>
      <w:pPr>
        <w:pStyle w:val="ListBullet"/>
        <w:ind w:left="360" w:hanging="360"/>
      </w:pPr>
      <w:r>
        <w:rPr>
          <w:rFonts w:ascii="Calibri" w:hAnsi="Calibri"/>
          <w:b/>
          <w:color w:val="525866"/>
          <w:sz w:val="22"/>
        </w:rPr>
        <w:t xml:space="preserve">European occupancy taken down "a couple of points" but price integrity maintained: </w:t>
      </w:r>
      <w:r>
        <w:rPr>
          <w:rFonts w:ascii="Calibri" w:hAnsi="Calibri"/>
          <w:color w:val="525866"/>
          <w:sz w:val="22"/>
        </w:rPr>
        <w:t xml:space="preserve">CCL reduced European occupancy expectations modestly to protect pricing for the long term. June "turned a corner" with booking trends reversing. </w:t>
      </w:r>
      <w:r>
        <w:rPr>
          <w:rFonts w:ascii="Calibri" w:hAnsi="Calibri"/>
          <w:i/>
          <w:color w:val="525866"/>
          <w:sz w:val="22"/>
        </w:rPr>
        <w:t xml:space="preserve">Read-through: </w:t>
      </w:r>
      <w:r>
        <w:rPr>
          <w:rFonts w:ascii="Calibri" w:hAnsi="Calibri"/>
          <w:color w:val="525866"/>
          <w:sz w:val="22"/>
        </w:rPr>
        <w:t>Consistent with RCL's commentary — June improvement is a positive signal for NCLH's Q2 European yield, though NCLH entered the quarter with a larger booking deficit.</w:t>
      </w:r>
    </w:p>
    <w:p>
      <w:pPr>
        <w:pStyle w:val="ListBullet"/>
        <w:ind w:left="360" w:hanging="360"/>
      </w:pPr>
      <w:r>
        <w:rPr>
          <w:rFonts w:ascii="Calibri" w:hAnsi="Calibri"/>
          <w:b/>
          <w:color w:val="525866"/>
          <w:sz w:val="22"/>
        </w:rPr>
        <w:t xml:space="preserve">Cost discipline offset yield moderation: </w:t>
      </w:r>
      <w:r>
        <w:rPr>
          <w:rFonts w:ascii="Calibri" w:hAnsi="Calibri"/>
          <w:color w:val="525866"/>
          <w:sz w:val="22"/>
        </w:rPr>
        <w:t xml:space="preserve">CCL's cruise costs without fuel per LBD were essentially flat YoY, outperforming guidance by ~250bps, contributing $0.05/share. Full-year EPS guidance raised by $0.01 to $2.22. </w:t>
      </w:r>
      <w:r>
        <w:rPr>
          <w:rFonts w:ascii="Calibri" w:hAnsi="Calibri"/>
          <w:i/>
          <w:color w:val="525866"/>
          <w:sz w:val="22"/>
        </w:rPr>
        <w:t xml:space="preserve">Read-through: </w:t>
      </w:r>
      <w:r>
        <w:rPr>
          <w:rFonts w:ascii="Calibri" w:hAnsi="Calibri"/>
          <w:color w:val="525866"/>
          <w:sz w:val="22"/>
        </w:rPr>
        <w:t>Positive for NCLH's cost story — if sector-wide cost tailwinds (fuel efficiency, timing) are present, NCLH's NCC ex-fuel guidance of +1% for Q2 could come in at or below guidance.</w:t>
      </w:r>
    </w:p>
    <w:p>
      <w:pPr>
        <w:pStyle w:val="ListBullet"/>
        <w:ind w:left="360" w:hanging="360"/>
      </w:pPr>
      <w:r>
        <w:rPr>
          <w:rFonts w:ascii="Calibri" w:hAnsi="Calibri"/>
          <w:b/>
          <w:color w:val="525866"/>
          <w:sz w:val="22"/>
        </w:rPr>
        <w:t xml:space="preserve">Caribbean "chugging along" despite 27% capacity increase from competitors: </w:t>
      </w:r>
      <w:r>
        <w:rPr>
          <w:rFonts w:ascii="Calibri" w:hAnsi="Calibri"/>
          <w:color w:val="525866"/>
          <w:sz w:val="22"/>
        </w:rPr>
        <w:t xml:space="preserve">CCL noted Caribbean booking trajectory "didn't take much of a movement" during geopolitical disruption, with the region resilient despite elevated industry capacity. </w:t>
      </w:r>
      <w:r>
        <w:rPr>
          <w:rFonts w:ascii="Calibri" w:hAnsi="Calibri"/>
          <w:i/>
          <w:color w:val="525866"/>
          <w:sz w:val="22"/>
        </w:rPr>
        <w:t xml:space="preserve">Read-through: </w:t>
      </w:r>
      <w:r>
        <w:rPr>
          <w:rFonts w:ascii="Calibri" w:hAnsi="Calibri"/>
          <w:color w:val="525866"/>
          <w:sz w:val="22"/>
        </w:rPr>
        <w:t>Positive for NCLH's Caribbean deployment, which was increased as a deliberate shift away from European exposure. Suggests Caribbean pricing has held up.</w:t>
      </w:r>
    </w:p>
    <w:p>
      <w:pPr>
        <w:pStyle w:val="ListBullet"/>
        <w:ind w:left="360" w:hanging="360"/>
      </w:pPr>
      <w:r>
        <w:rPr>
          <w:rFonts w:ascii="Calibri" w:hAnsi="Calibri"/>
          <w:b/>
          <w:color w:val="525866"/>
          <w:sz w:val="22"/>
        </w:rPr>
        <w:t xml:space="preserve">Customer deposits at all-time high of $9 billion: </w:t>
      </w:r>
      <w:r>
        <w:rPr>
          <w:rFonts w:ascii="Calibri" w:hAnsi="Calibri"/>
          <w:color w:val="525866"/>
          <w:sz w:val="22"/>
        </w:rPr>
        <w:t xml:space="preserve">Record advance bookings signal strong forward demand visibility. 2027 book position at "historical highs for both price and occupancy." </w:t>
      </w:r>
      <w:r>
        <w:rPr>
          <w:rFonts w:ascii="Calibri" w:hAnsi="Calibri"/>
          <w:i/>
          <w:color w:val="525866"/>
          <w:sz w:val="22"/>
        </w:rPr>
        <w:t xml:space="preserve">Read-through: </w:t>
      </w:r>
      <w:r>
        <w:rPr>
          <w:rFonts w:ascii="Calibri" w:hAnsi="Calibri"/>
          <w:color w:val="525866"/>
          <w:sz w:val="22"/>
        </w:rPr>
        <w:t>Positive sector signal, though NCLH's 2027 recovery depends on rebuilding its booking curve from a deficit, not from a position of strength.</w:t>
      </w:r>
    </w:p>
    <w:p>
      <w:pPr>
        <w:pStyle w:val="Heading3"/>
      </w:pPr>
      <w:r>
        <w:rPr>
          <w:rFonts w:ascii="Calibri" w:hAnsi="Calibri"/>
          <w:b/>
          <w:color w:val="3B4259"/>
          <w:sz w:val="24"/>
        </w:rPr>
        <w:t>Viking (VIK) — Q1 2026 Earnings (Reported May 14, 2026)</w:t>
      </w:r>
    </w:p>
    <w:p>
      <w:pPr>
        <w:pStyle w:val="ListBullet"/>
        <w:ind w:left="360" w:hanging="360"/>
      </w:pPr>
      <w:r>
        <w:rPr>
          <w:rFonts w:ascii="Calibri" w:hAnsi="Calibri"/>
          <w:b/>
          <w:color w:val="525866"/>
          <w:sz w:val="22"/>
        </w:rPr>
        <w:t xml:space="preserve">92% booked for 2026 with pricing +5.5% YoY: </w:t>
      </w:r>
      <w:r>
        <w:rPr>
          <w:rFonts w:ascii="Calibri" w:hAnsi="Calibri"/>
          <w:color w:val="525866"/>
          <w:sz w:val="22"/>
        </w:rPr>
        <w:t xml:space="preserve">Viking reported being 92% booked for full-year 2026 as of May 3, with advanced bookings of $6.2B (+13% YoY) and overall pricing 5.5% ahead of prior year. </w:t>
      </w:r>
      <w:r>
        <w:rPr>
          <w:rFonts w:ascii="Calibri" w:hAnsi="Calibri"/>
          <w:i/>
          <w:color w:val="525866"/>
          <w:sz w:val="22"/>
        </w:rPr>
        <w:t xml:space="preserve">Read-through: </w:t>
      </w:r>
      <w:r>
        <w:rPr>
          <w:rFonts w:ascii="Calibri" w:hAnsi="Calibri"/>
          <w:color w:val="525866"/>
          <w:sz w:val="22"/>
        </w:rPr>
        <w:t>Limited direct read-through to NCLH given Viking's ultra-premium positioning and different customer demographic, but confirms luxury/premium cruise demand remains robust — consistent with NCLH's Oceania and Regent brands performing "to expectations."</w:t>
      </w:r>
    </w:p>
    <w:p>
      <w:pPr>
        <w:pStyle w:val="ListBullet"/>
        <w:ind w:left="360" w:hanging="360"/>
      </w:pPr>
      <w:r>
        <w:rPr>
          <w:rFonts w:ascii="Calibri" w:hAnsi="Calibri"/>
          <w:b/>
          <w:color w:val="525866"/>
          <w:sz w:val="22"/>
        </w:rPr>
        <w:t xml:space="preserve">Temporary slowdown in River bookings reversed: </w:t>
      </w:r>
      <w:r>
        <w:rPr>
          <w:rFonts w:ascii="Calibri" w:hAnsi="Calibri"/>
          <w:color w:val="525866"/>
          <w:sz w:val="22"/>
        </w:rPr>
        <w:t xml:space="preserve">Viking experienced a temporary slowdown in River bookings post-Q4 earnings due to geopolitical events, but "demand has since rebounded, reflecting that travel remains a priority for our customers." Cancellation rates remain within historical averages. </w:t>
      </w:r>
      <w:r>
        <w:rPr>
          <w:rFonts w:ascii="Calibri" w:hAnsi="Calibri"/>
          <w:i/>
          <w:color w:val="525866"/>
          <w:sz w:val="22"/>
        </w:rPr>
        <w:t xml:space="preserve">Read-through: </w:t>
      </w:r>
      <w:r>
        <w:rPr>
          <w:rFonts w:ascii="Calibri" w:hAnsi="Calibri"/>
          <w:color w:val="525866"/>
          <w:sz w:val="22"/>
        </w:rPr>
        <w:t>Positive signal that geopolitical-driven booking hesitation is transitory for premium consumers. NCLH's luxury brands (Oceania, Regent) likely benefited from similar demand resilience.</w:t>
      </w:r>
    </w:p>
    <w:p>
      <w:pPr>
        <w:pStyle w:val="ListBullet"/>
        <w:ind w:left="360" w:hanging="360"/>
      </w:pPr>
      <w:r>
        <w:rPr>
          <w:rFonts w:ascii="Calibri" w:hAnsi="Calibri"/>
          <w:b/>
          <w:color w:val="525866"/>
          <w:sz w:val="22"/>
        </w:rPr>
        <w:t xml:space="preserve">Eastern Europe and Mediterranean booking similar to other itineraries: </w:t>
      </w:r>
      <w:r>
        <w:rPr>
          <w:rFonts w:ascii="Calibri" w:hAnsi="Calibri"/>
          <w:color w:val="525866"/>
          <w:sz w:val="22"/>
        </w:rPr>
        <w:t xml:space="preserve">Viking noted it is "seeing both Eastern Europe and the Med booking similar to our other itineraries," suggesting no structural demand impairment for European sailings at the premium end. </w:t>
      </w:r>
      <w:r>
        <w:rPr>
          <w:rFonts w:ascii="Calibri" w:hAnsi="Calibri"/>
          <w:i/>
          <w:color w:val="525866"/>
          <w:sz w:val="22"/>
        </w:rPr>
        <w:t xml:space="preserve">Read-through: </w:t>
      </w:r>
      <w:r>
        <w:rPr>
          <w:rFonts w:ascii="Calibri" w:hAnsi="Calibri"/>
          <w:color w:val="525866"/>
          <w:sz w:val="22"/>
        </w:rPr>
        <w:t>Positive for NCLH's Oceania and Regent European exposure, but less relevant for the Norwegian brand's mass-market European sailings where the booking deficit is concentrated.</w:t>
      </w:r>
    </w:p>
    <w:p>
      <w:r>
        <w:rPr>
          <w:rFonts w:ascii="Calibri" w:hAnsi="Calibri"/>
          <w:b/>
          <w:color w:val="525866"/>
          <w:sz w:val="22"/>
        </w:rPr>
        <w:t xml:space="preserve">Overall Peer Read-Through Assessment: </w:t>
      </w:r>
      <w:r>
        <w:rPr>
          <w:rFonts w:ascii="Calibri" w:hAnsi="Calibri"/>
          <w:color w:val="525866"/>
          <w:sz w:val="22"/>
        </w:rPr>
        <w:t>The peer commentary is net constructive for NCLH's Q2 setup on two key dimensions: (1) June European demand recovery signals that the Q2 yield miss vs. guidance may be smaller than feared, and (2) cost discipline across the sector suggests NCLH's NCC ex-fuel guidance of +1% is achievable. However, the read-through is materially limited by NCLH's idiosyncratic issues — the booking curve deficit, revenue management dysfunction, and marketing underinvestment are company-specific problems that peers do not share. RCL's ability to raise guidance while NCLH is in turnaround mode underscores the execution gap. The more relevant question for NCLH's Q2 print is not whether the sector is healthy (it is), but whether NCLH's internal fixes are gaining traction.</w:t>
      </w:r>
    </w:p>
    <w:p>
      <w:r>
        <w:br w:type="page"/>
      </w:r>
    </w:p>
    <w:p>
      <w:r>
        <w:rPr>
          <w:rFonts w:ascii="Calibri" w:hAnsi="Calibri"/>
          <w:color w:val="525866"/>
          <w:sz w:val="22"/>
        </w:rPr>
        <w:t>All nine transactions are open-market purchases (Form 4, Code P) with no 10b5-1 plan involvement — these are fully discretionary buys. The cluster is notable for its breadth (seven distinct insiders), timing (all within 4 weeks of the Q1 guidance cut at depressed prices), and the CEO's participation. Director Pagliuca's two-day, ~$1.38M purchase is the largest single insider commitment. No insider sales have been filed in the period. Source: Insider Transaction Data (SEC Form 4).</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