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Norwegian Cruise Line Holdings (NCLH)</w:t>
      </w:r>
    </w:p>
    <w:p>
      <w:pPr>
        <w:pStyle w:val="Heading2"/>
      </w:pPr>
      <w:r>
        <w:rPr>
          <w:rFonts w:ascii="Calibri" w:hAnsi="Calibri"/>
          <w:b/>
          <w:color w:val="3B4259"/>
          <w:sz w:val="28"/>
        </w:rPr>
        <w:t>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Ticker</w:t>
            </w:r>
          </w:p>
        </w:tc>
        <w:tc>
          <w:tcPr>
            <w:tcW w:type="dxa" w:w="4320"/>
          </w:tcPr>
          <w:p>
            <w:r>
              <w:rPr>
                <w:rFonts w:ascii="Calibri" w:hAnsi="Calibri"/>
                <w:sz w:val="22"/>
              </w:rPr>
              <w:t>NCLH</w:t>
            </w:r>
          </w:p>
        </w:tc>
      </w:tr>
      <w:tr>
        <w:tc>
          <w:tcPr>
            <w:tcW w:type="dxa" w:w="4320"/>
          </w:tcPr>
          <w:p>
            <w:r>
              <w:rPr>
                <w:rFonts w:ascii="Calibri" w:hAnsi="Calibri"/>
                <w:b/>
                <w:sz w:val="22"/>
              </w:rPr>
              <w:t>Earnings Date</w:t>
            </w:r>
          </w:p>
        </w:tc>
        <w:tc>
          <w:tcPr>
            <w:tcW w:type="dxa" w:w="4320"/>
          </w:tcPr>
          <w:p>
            <w:r>
              <w:rPr>
                <w:rFonts w:ascii="Calibri" w:hAnsi="Calibri"/>
                <w:sz w:val="22"/>
              </w:rPr>
              <w:t>July 30, 2026 (Pre-Market / 8:30 AM ET)</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Prepared</w:t>
            </w:r>
          </w:p>
        </w:tc>
        <w:tc>
          <w:tcPr>
            <w:tcW w:type="dxa" w:w="4320"/>
          </w:tcPr>
          <w:p>
            <w:r>
              <w:rPr>
                <w:rFonts w:ascii="Calibri" w:hAnsi="Calibri"/>
                <w:sz w:val="22"/>
              </w:rPr>
              <w:t>July 29, 2026</w:t>
            </w:r>
          </w:p>
        </w:tc>
      </w:tr>
      <w:tr>
        <w:tc>
          <w:tcPr>
            <w:tcW w:type="dxa" w:w="4320"/>
          </w:tcPr>
          <w:p>
            <w:r>
              <w:rPr>
                <w:rFonts w:ascii="Calibri" w:hAnsi="Calibri"/>
                <w:b/>
                <w:sz w:val="22"/>
              </w:rPr>
              <w:t>Last Earnings</w:t>
            </w:r>
          </w:p>
        </w:tc>
        <w:tc>
          <w:tcPr>
            <w:tcW w:type="dxa" w:w="4320"/>
          </w:tcPr>
          <w:p>
            <w:r>
              <w:rPr>
                <w:rFonts w:ascii="Calibri" w:hAnsi="Calibri"/>
                <w:sz w:val="22"/>
              </w:rPr>
              <w:t>May 4, 2026 (Q1 2026)</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The setup is asymmetric to the upside — consensus has been aggressively reset post-Q1 and the bar is now low, but the single biggest swing factor is whether Q2 net yield came in at or above the guided -3.6% (constant currency), and whether management can signal any stabilization in the booking curve heading into Q3.</w:t>
      </w:r>
    </w:p>
    <w:p>
      <w:r>
        <w:rPr>
          <w:rFonts w:ascii="Calibri" w:hAnsi="Calibri"/>
          <w:color w:val="525866"/>
          <w:sz w:val="22"/>
        </w:rPr>
        <w:t xml:space="preserve">NCLH heads into Q2 2026 earnings with one of the lowest bars in the cruise sector, following a dramatic guidance cut on May 4 that slashed full-year net yield expectations to -3% to -5% (constant currency) and full-year Adjusted EPS to $1.45–$1.79 — a reset so severe that the stock fell sharply despite a Q1 beat. </w:t>
      </w:r>
      <w:r>
        <w:rPr>
          <w:rFonts w:ascii="Calibri" w:hAnsi="Calibri"/>
          <w:b/>
          <w:color w:val="525866"/>
          <w:sz w:val="22"/>
        </w:rPr>
        <w:t>Consensus Adjusted EPS for Q2 now sits at approximately $0.39</w:t>
      </w:r>
      <w:r>
        <w:rPr>
          <w:rFonts w:ascii="Calibri" w:hAnsi="Calibri"/>
          <w:color w:val="525866"/>
          <w:sz w:val="22"/>
        </w:rPr>
        <w:t xml:space="preserve">, essentially in line with the company's own guidance of ~$0.38, leaving little room for a miss but meaningful upside if cost discipline (NCC ex-Fuel guided +1.0% CC) or onboard spend surprises positively. </w:t>
      </w:r>
      <w:r>
        <w:rPr>
          <w:rFonts w:ascii="Calibri" w:hAnsi="Calibri"/>
          <w:b/>
          <w:color w:val="525866"/>
          <w:sz w:val="22"/>
        </w:rPr>
        <w:t>Management's tone on the Q1 call was explicitly turnaround-framed</w:t>
      </w:r>
      <w:r>
        <w:rPr>
          <w:rFonts w:ascii="Calibri" w:hAnsi="Calibri"/>
          <w:color w:val="525866"/>
          <w:sz w:val="22"/>
        </w:rPr>
        <w:t xml:space="preserve"> — CEO John Chidsey acknowledged self-inflicted revenue management and marketing failures at the Norwegian brand, and the company entered Q2 still behind its booking curve with elevated European cancellations from Middle East geopolitical disruption. </w:t>
      </w:r>
      <w:r>
        <w:rPr>
          <w:rFonts w:ascii="Calibri" w:hAnsi="Calibri"/>
          <w:b/>
          <w:color w:val="525866"/>
          <w:sz w:val="22"/>
        </w:rPr>
        <w:t>Estimate revisions have stabilized since May</w:t>
      </w:r>
      <w:r>
        <w:rPr>
          <w:rFonts w:ascii="Calibri" w:hAnsi="Calibri"/>
          <w:color w:val="525866"/>
          <w:sz w:val="22"/>
        </w:rPr>
        <w:t xml:space="preserve"> (Q2 EPS consensus moved from ~$0.38 to ~$0.39), suggesting the street has largely digested the reset, but the stock has recovered only modestly (+21% from post-earnings lows to ~$20.75), still trading at a steep discount to RCL at ~9x NTM EV/EBITDA vs. RCL's ~13x. </w:t>
      </w:r>
      <w:r>
        <w:rPr>
          <w:rFonts w:ascii="Calibri" w:hAnsi="Calibri"/>
          <w:b/>
          <w:color w:val="525866"/>
          <w:sz w:val="22"/>
        </w:rPr>
        <w:t>The key wildcard is the Q3 yield outlook</w:t>
      </w:r>
      <w:r>
        <w:rPr>
          <w:rFonts w:ascii="Calibri" w:hAnsi="Calibri"/>
          <w:color w:val="525866"/>
          <w:sz w:val="22"/>
        </w:rPr>
        <w:t>: management flagged a scenario of high-single-digit negative yields in Q3 given ~38% European deployment, and any commentary suggesting that scenario is tracking worse — or better — than feared will dominate the stock reaction far more than the Q2 print itself.</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 xml:space="preserve">Consensus reflects management's own Q2 guidance almost exactly — the bar is low and well-telegraphed. </w:t>
      </w:r>
      <w:r>
        <w:rPr>
          <w:rFonts w:ascii="Calibri" w:hAnsi="Calibri"/>
          <w:b/>
          <w:color w:val="525866"/>
          <w:sz w:val="22"/>
        </w:rPr>
        <w:t>Net yield (guided -3.6% CC) is the primary swing factor</w:t>
      </w:r>
      <w:r>
        <w:rPr>
          <w:rFonts w:ascii="Calibri" w:hAnsi="Calibri"/>
          <w:color w:val="525866"/>
          <w:sz w:val="22"/>
        </w:rPr>
        <w:t>; any outperformance there, combined with continued cost discipline, could drive a modest beat. Occupancy at ~102.5% is the secondary watch item.</w:t>
      </w:r>
    </w:p>
    <w:p>
      <w:pPr>
        <w:pStyle w:val="Heading2"/>
      </w:pPr>
      <w:r>
        <w:rPr>
          <w:rFonts w:ascii="Calibri" w:hAnsi="Calibri"/>
          <w:b/>
          <w:color w:val="3B4259"/>
          <w:sz w:val="28"/>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Adj. EPS (Diluted, Operating)</w:t>
            </w:r>
          </w:p>
        </w:tc>
        <w:tc>
          <w:tcPr>
            <w:tcW w:type="dxa" w:w="1234"/>
          </w:tcPr>
          <w:p>
            <w:r>
              <w:rPr>
                <w:rFonts w:ascii="Calibri" w:hAnsi="Calibri"/>
                <w:sz w:val="22"/>
              </w:rPr>
              <w:t>$0.23</w:t>
            </w:r>
          </w:p>
        </w:tc>
        <w:tc>
          <w:tcPr>
            <w:tcW w:type="dxa" w:w="1234"/>
          </w:tcPr>
          <w:p>
            <w:r>
              <w:rPr>
                <w:rFonts w:ascii="Calibri" w:hAnsi="Calibri"/>
                <w:sz w:val="22"/>
              </w:rPr>
              <w:t>$0.51</w:t>
            </w:r>
          </w:p>
        </w:tc>
        <w:tc>
          <w:tcPr>
            <w:tcW w:type="dxa" w:w="1234"/>
          </w:tcPr>
          <w:p>
            <w:r>
              <w:rPr>
                <w:rFonts w:ascii="Calibri" w:hAnsi="Calibri"/>
                <w:sz w:val="22"/>
              </w:rPr>
              <w:t>$0.39</w:t>
            </w:r>
          </w:p>
        </w:tc>
        <w:tc>
          <w:tcPr>
            <w:tcW w:type="dxa" w:w="1234"/>
          </w:tcPr>
          <w:p>
            <w:r>
              <w:rPr>
                <w:rFonts w:ascii="Calibri" w:hAnsi="Calibri"/>
                <w:b/>
                <w:color w:val="E5484D"/>
                <w:sz w:val="22"/>
              </w:rPr>
              <w:t>-24% YoY</w:t>
            </w:r>
          </w:p>
        </w:tc>
        <w:tc>
          <w:tcPr>
            <w:tcW w:type="dxa" w:w="1234"/>
          </w:tcPr>
          <w:p>
            <w:r>
              <w:rPr>
                <w:rFonts w:ascii="Calibri" w:hAnsi="Calibri"/>
                <w:sz w:val="22"/>
              </w:rPr>
              <w:t>~$0.38</w:t>
            </w:r>
          </w:p>
        </w:tc>
        <w:tc>
          <w:tcPr>
            <w:tcW w:type="dxa" w:w="1234"/>
          </w:tcPr>
          <w:p>
            <w:r>
              <w:rPr>
                <w:rFonts w:ascii="Calibri" w:hAnsi="Calibri"/>
                <w:b/>
                <w:color w:val="30A46C"/>
                <w:sz w:val="22"/>
              </w:rPr>
              <w:t>+$0.01 / +2.6%</w:t>
            </w:r>
          </w:p>
        </w:tc>
      </w:tr>
      <w:tr>
        <w:tc>
          <w:tcPr>
            <w:tcW w:type="dxa" w:w="1234"/>
          </w:tcPr>
          <w:p>
            <w:r>
              <w:rPr>
                <w:rFonts w:ascii="Calibri" w:hAnsi="Calibri"/>
                <w:sz w:val="22"/>
              </w:rPr>
              <w:t>Total Revenue</w:t>
            </w:r>
          </w:p>
        </w:tc>
        <w:tc>
          <w:tcPr>
            <w:tcW w:type="dxa" w:w="1234"/>
          </w:tcPr>
          <w:p>
            <w:r>
              <w:rPr>
                <w:rFonts w:ascii="Calibri" w:hAnsi="Calibri"/>
                <w:sz w:val="22"/>
              </w:rPr>
              <w:t>$2.331B</w:t>
            </w:r>
          </w:p>
        </w:tc>
        <w:tc>
          <w:tcPr>
            <w:tcW w:type="dxa" w:w="1234"/>
          </w:tcPr>
          <w:p>
            <w:r>
              <w:rPr>
                <w:rFonts w:ascii="Calibri" w:hAnsi="Calibri"/>
                <w:sz w:val="22"/>
              </w:rPr>
              <w:t>$2.518B</w:t>
            </w:r>
          </w:p>
        </w:tc>
        <w:tc>
          <w:tcPr>
            <w:tcW w:type="dxa" w:w="1234"/>
          </w:tcPr>
          <w:p>
            <w:r>
              <w:rPr>
                <w:rFonts w:ascii="Calibri" w:hAnsi="Calibri"/>
                <w:sz w:val="22"/>
              </w:rPr>
              <w:t>$2.644B</w:t>
            </w:r>
          </w:p>
        </w:tc>
        <w:tc>
          <w:tcPr>
            <w:tcW w:type="dxa" w:w="1234"/>
          </w:tcPr>
          <w:p>
            <w:r>
              <w:rPr>
                <w:rFonts w:ascii="Calibri" w:hAnsi="Calibri"/>
                <w:sz w:val="22"/>
              </w:rPr>
              <w:t>+5.0% YoY</w:t>
            </w:r>
          </w:p>
        </w:tc>
        <w:tc>
          <w:tcPr>
            <w:tcW w:type="dxa" w:w="1234"/>
          </w:tcPr>
          <w:p>
            <w:r>
              <w:rPr>
                <w:rFonts w:ascii="Calibri" w:hAnsi="Calibri"/>
                <w:sz w:val="22"/>
              </w:rPr>
              <w:t>N/A (no explicit rev. guide)</w:t>
            </w:r>
          </w:p>
        </w:tc>
        <w:tc>
          <w:tcPr>
            <w:tcW w:type="dxa" w:w="1234"/>
          </w:tcPr>
          <w:p>
            <w:r>
              <w:rPr>
                <w:rFonts w:ascii="Calibri" w:hAnsi="Calibri"/>
                <w:sz w:val="22"/>
              </w:rPr>
              <w:t>N/A</w:t>
            </w:r>
          </w:p>
        </w:tc>
      </w:tr>
      <w:tr>
        <w:tc>
          <w:tcPr>
            <w:tcW w:type="dxa" w:w="1234"/>
          </w:tcPr>
          <w:p>
            <w:r>
              <w:rPr>
                <w:rFonts w:ascii="Calibri" w:hAnsi="Calibri"/>
                <w:sz w:val="22"/>
              </w:rPr>
              <w:t>Net Yield (CC Growth %)</w:t>
            </w:r>
          </w:p>
        </w:tc>
        <w:tc>
          <w:tcPr>
            <w:tcW w:type="dxa" w:w="1234"/>
          </w:tcPr>
          <w:p>
            <w:r>
              <w:rPr>
                <w:rFonts w:ascii="Calibri" w:hAnsi="Calibri"/>
                <w:sz w:val="22"/>
              </w:rPr>
              <w:t>-1.0% CC</w:t>
            </w:r>
          </w:p>
        </w:tc>
        <w:tc>
          <w:tcPr>
            <w:tcW w:type="dxa" w:w="1234"/>
          </w:tcPr>
          <w:p>
            <w:r>
              <w:rPr>
                <w:rFonts w:ascii="Calibri" w:hAnsi="Calibri"/>
                <w:sz w:val="22"/>
              </w:rPr>
              <w:t>+3.1% CC</w:t>
            </w:r>
          </w:p>
        </w:tc>
        <w:tc>
          <w:tcPr>
            <w:tcW w:type="dxa" w:w="1234"/>
          </w:tcPr>
          <w:p>
            <w:r>
              <w:rPr>
                <w:rFonts w:ascii="Calibri" w:hAnsi="Calibri"/>
                <w:sz w:val="22"/>
              </w:rPr>
              <w:t>-3.5% CC</w:t>
            </w:r>
          </w:p>
        </w:tc>
        <w:tc>
          <w:tcPr>
            <w:tcW w:type="dxa" w:w="1234"/>
          </w:tcPr>
          <w:p>
            <w:r>
              <w:rPr>
                <w:rFonts w:ascii="Calibri" w:hAnsi="Calibri"/>
                <w:b/>
                <w:color w:val="E5484D"/>
                <w:sz w:val="22"/>
              </w:rPr>
              <w:t>~-6.5pp swing</w:t>
            </w:r>
          </w:p>
        </w:tc>
        <w:tc>
          <w:tcPr>
            <w:tcW w:type="dxa" w:w="1234"/>
          </w:tcPr>
          <w:p>
            <w:r>
              <w:rPr>
                <w:rFonts w:ascii="Calibri" w:hAnsi="Calibri"/>
                <w:sz w:val="22"/>
              </w:rPr>
              <w:t>~-3.6% CC</w:t>
            </w:r>
          </w:p>
        </w:tc>
        <w:tc>
          <w:tcPr>
            <w:tcW w:type="dxa" w:w="1234"/>
          </w:tcPr>
          <w:p>
            <w:r>
              <w:rPr>
                <w:rFonts w:ascii="Calibri" w:hAnsi="Calibri"/>
                <w:sz w:val="22"/>
              </w:rPr>
              <w:t>+0.1pp vs. midpoint</w:t>
            </w:r>
          </w:p>
        </w:tc>
      </w:tr>
      <w:tr>
        <w:tc>
          <w:tcPr>
            <w:tcW w:type="dxa" w:w="1234"/>
          </w:tcPr>
          <w:p>
            <w:r>
              <w:rPr>
                <w:rFonts w:ascii="Calibri" w:hAnsi="Calibri"/>
                <w:sz w:val="22"/>
              </w:rPr>
              <w:t>Adj. EBITDA (Operating)</w:t>
            </w:r>
          </w:p>
        </w:tc>
        <w:tc>
          <w:tcPr>
            <w:tcW w:type="dxa" w:w="1234"/>
          </w:tcPr>
          <w:p>
            <w:r>
              <w:rPr>
                <w:rFonts w:ascii="Calibri" w:hAnsi="Calibri"/>
                <w:sz w:val="22"/>
              </w:rPr>
              <w:t>$532.9M</w:t>
            </w:r>
          </w:p>
        </w:tc>
        <w:tc>
          <w:tcPr>
            <w:tcW w:type="dxa" w:w="1234"/>
          </w:tcPr>
          <w:p>
            <w:r>
              <w:rPr>
                <w:rFonts w:ascii="Calibri" w:hAnsi="Calibri"/>
                <w:sz w:val="22"/>
              </w:rPr>
              <w:t>$694.0M</w:t>
            </w:r>
          </w:p>
        </w:tc>
        <w:tc>
          <w:tcPr>
            <w:tcW w:type="dxa" w:w="1234"/>
          </w:tcPr>
          <w:p>
            <w:r>
              <w:rPr>
                <w:rFonts w:ascii="Calibri" w:hAnsi="Calibri"/>
                <w:sz w:val="22"/>
              </w:rPr>
              <w:t>$636.3M</w:t>
            </w:r>
          </w:p>
        </w:tc>
        <w:tc>
          <w:tcPr>
            <w:tcW w:type="dxa" w:w="1234"/>
          </w:tcPr>
          <w:p>
            <w:r>
              <w:rPr>
                <w:rFonts w:ascii="Calibri" w:hAnsi="Calibri"/>
                <w:b/>
                <w:color w:val="E5484D"/>
                <w:sz w:val="22"/>
              </w:rPr>
              <w:t>-8.3% YoY</w:t>
            </w:r>
          </w:p>
        </w:tc>
        <w:tc>
          <w:tcPr>
            <w:tcW w:type="dxa" w:w="1234"/>
          </w:tcPr>
          <w:p>
            <w:r>
              <w:rPr>
                <w:rFonts w:ascii="Calibri" w:hAnsi="Calibri"/>
                <w:sz w:val="22"/>
              </w:rPr>
              <w:t>~$632M</w:t>
            </w:r>
          </w:p>
        </w:tc>
        <w:tc>
          <w:tcPr>
            <w:tcW w:type="dxa" w:w="1234"/>
          </w:tcPr>
          <w:p>
            <w:r>
              <w:rPr>
                <w:rFonts w:ascii="Calibri" w:hAnsi="Calibri"/>
                <w:b/>
                <w:color w:val="30A46C"/>
                <w:sz w:val="22"/>
              </w:rPr>
              <w:t>+$4.3M / +0.7%</w:t>
            </w:r>
          </w:p>
        </w:tc>
      </w:tr>
      <w:tr>
        <w:tc>
          <w:tcPr>
            <w:tcW w:type="dxa" w:w="1234"/>
          </w:tcPr>
          <w:p>
            <w:r>
              <w:rPr>
                <w:rFonts w:ascii="Calibri" w:hAnsi="Calibri"/>
                <w:sz w:val="22"/>
              </w:rPr>
              <w:t>Occupancy (%)</w:t>
            </w:r>
          </w:p>
        </w:tc>
        <w:tc>
          <w:tcPr>
            <w:tcW w:type="dxa" w:w="1234"/>
          </w:tcPr>
          <w:p>
            <w:r>
              <w:rPr>
                <w:rFonts w:ascii="Calibri" w:hAnsi="Calibri"/>
                <w:sz w:val="22"/>
              </w:rPr>
              <w:t>103.8%</w:t>
            </w:r>
          </w:p>
        </w:tc>
        <w:tc>
          <w:tcPr>
            <w:tcW w:type="dxa" w:w="1234"/>
          </w:tcPr>
          <w:p>
            <w:r>
              <w:rPr>
                <w:rFonts w:ascii="Calibri" w:hAnsi="Calibri"/>
                <w:sz w:val="22"/>
              </w:rPr>
              <w:t>103.9%</w:t>
            </w:r>
          </w:p>
        </w:tc>
        <w:tc>
          <w:tcPr>
            <w:tcW w:type="dxa" w:w="1234"/>
          </w:tcPr>
          <w:p>
            <w:r>
              <w:rPr>
                <w:rFonts w:ascii="Calibri" w:hAnsi="Calibri"/>
                <w:sz w:val="22"/>
              </w:rPr>
              <w:t>103.0%</w:t>
            </w:r>
          </w:p>
        </w:tc>
        <w:tc>
          <w:tcPr>
            <w:tcW w:type="dxa" w:w="1234"/>
          </w:tcPr>
          <w:p>
            <w:r>
              <w:rPr>
                <w:rFonts w:ascii="Calibri" w:hAnsi="Calibri"/>
                <w:b/>
                <w:color w:val="E5484D"/>
                <w:sz w:val="22"/>
              </w:rPr>
              <w:t>-0.9pp YoY</w:t>
            </w:r>
          </w:p>
        </w:tc>
        <w:tc>
          <w:tcPr>
            <w:tcW w:type="dxa" w:w="1234"/>
          </w:tcPr>
          <w:p>
            <w:r>
              <w:rPr>
                <w:rFonts w:ascii="Calibri" w:hAnsi="Calibri"/>
                <w:sz w:val="22"/>
              </w:rPr>
              <w:t>~102.5%</w:t>
            </w:r>
          </w:p>
        </w:tc>
        <w:tc>
          <w:tcPr>
            <w:tcW w:type="dxa" w:w="1234"/>
          </w:tcPr>
          <w:p>
            <w:r>
              <w:rPr>
                <w:rFonts w:ascii="Calibri" w:hAnsi="Calibri"/>
                <w:b/>
                <w:color w:val="30A46C"/>
                <w:sz w:val="22"/>
              </w:rPr>
              <w:t>+0.5pp vs. guidance</w:t>
            </w:r>
          </w:p>
        </w:tc>
      </w:tr>
      <w:tr>
        <w:tc>
          <w:tcPr>
            <w:tcW w:type="dxa" w:w="1234"/>
          </w:tcPr>
          <w:p>
            <w:r>
              <w:rPr>
                <w:rFonts w:ascii="Calibri" w:hAnsi="Calibri"/>
                <w:sz w:val="22"/>
              </w:rPr>
              <w:t>NCC ex-Fuel/APCD (CC Growth %)</w:t>
            </w:r>
          </w:p>
        </w:tc>
        <w:tc>
          <w:tcPr>
            <w:tcW w:type="dxa" w:w="1234"/>
          </w:tcPr>
          <w:p>
            <w:r>
              <w:rPr>
                <w:rFonts w:ascii="Calibri" w:hAnsi="Calibri"/>
                <w:sz w:val="22"/>
              </w:rPr>
              <w:t>-1.0% CC</w:t>
            </w:r>
          </w:p>
        </w:tc>
        <w:tc>
          <w:tcPr>
            <w:tcW w:type="dxa" w:w="1234"/>
          </w:tcPr>
          <w:p>
            <w:r>
              <w:rPr>
                <w:rFonts w:ascii="Calibri" w:hAnsi="Calibri"/>
                <w:sz w:val="22"/>
              </w:rPr>
              <w:t>~0.0% CC</w:t>
            </w:r>
          </w:p>
        </w:tc>
        <w:tc>
          <w:tcPr>
            <w:tcW w:type="dxa" w:w="1234"/>
          </w:tcPr>
          <w:p>
            <w:r>
              <w:rPr>
                <w:rFonts w:ascii="Calibri" w:hAnsi="Calibri"/>
                <w:sz w:val="22"/>
              </w:rPr>
              <w:t>+1.0% CC</w:t>
            </w:r>
          </w:p>
        </w:tc>
        <w:tc>
          <w:tcPr>
            <w:tcW w:type="dxa" w:w="1234"/>
          </w:tcPr>
          <w:p>
            <w:r>
              <w:rPr>
                <w:rFonts w:ascii="Calibri" w:hAnsi="Calibri"/>
                <w:sz w:val="22"/>
              </w:rPr>
              <w:t>+1.0pp YoY</w:t>
            </w:r>
          </w:p>
        </w:tc>
        <w:tc>
          <w:tcPr>
            <w:tcW w:type="dxa" w:w="1234"/>
          </w:tcPr>
          <w:p>
            <w:r>
              <w:rPr>
                <w:rFonts w:ascii="Calibri" w:hAnsi="Calibri"/>
                <w:sz w:val="22"/>
              </w:rPr>
              <w:t>~+1.0% CC</w:t>
            </w:r>
          </w:p>
        </w:tc>
        <w:tc>
          <w:tcPr>
            <w:tcW w:type="dxa" w:w="1234"/>
          </w:tcPr>
          <w:p>
            <w:r>
              <w:rPr>
                <w:rFonts w:ascii="Calibri" w:hAnsi="Calibri"/>
                <w:sz w:val="22"/>
              </w:rPr>
              <w:t>In line</w:t>
            </w:r>
          </w:p>
        </w:tc>
      </w:tr>
    </w:tbl>
    <w:p>
      <w:r>
        <w:rPr>
          <w:rFonts w:ascii="Calibri" w:hAnsi="Calibri"/>
          <w:i/>
          <w:color w:val="525866"/>
          <w:sz w:val="22"/>
        </w:rPr>
        <w:t>Sources: Visible Alpha Consensus and Actuals Data; NCLH Q1 2026 Earnings Release (May 4, 2026). Q2 2026 consensus figures as of July 29, 2026.</w:t>
      </w:r>
    </w:p>
    <w:p>
      <w:pPr>
        <w:pStyle w:val="Heading2"/>
      </w:pPr>
      <w:r>
        <w:rPr>
          <w:rFonts w:ascii="Calibri" w:hAnsi="Calibri"/>
          <w:b/>
          <w:color w:val="3B4259"/>
          <w:sz w:val="28"/>
        </w:rPr>
        <w:t>Table 2 — Beat/Miss History: Top 2 KPIs (Last 8 Quarters)</w:t>
      </w:r>
    </w:p>
    <w:p>
      <w:pPr>
        <w:pStyle w:val="Heading3"/>
      </w:pPr>
      <w:r>
        <w:rPr>
          <w:rFonts w:ascii="Calibri" w:hAnsi="Calibri"/>
          <w:b/>
          <w:color w:val="3B4259"/>
          <w:sz w:val="24"/>
        </w:rPr>
        <w:t>Adj. EPS (Diluted, Operating)</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Q3 2024</w:t>
            </w:r>
          </w:p>
        </w:tc>
        <w:tc>
          <w:tcPr>
            <w:tcW w:type="dxa" w:w="1728"/>
          </w:tcPr>
          <w:p>
            <w:r>
              <w:rPr>
                <w:rFonts w:ascii="Calibri" w:hAnsi="Calibri"/>
                <w:sz w:val="22"/>
              </w:rPr>
              <w:t>$1.02</w:t>
            </w:r>
          </w:p>
        </w:tc>
        <w:tc>
          <w:tcPr>
            <w:tcW w:type="dxa" w:w="1728"/>
          </w:tcPr>
          <w:p>
            <w:r>
              <w:rPr>
                <w:rFonts w:ascii="Calibri" w:hAnsi="Calibri"/>
                <w:sz w:val="22"/>
              </w:rPr>
              <w:t>$0.94</w:t>
            </w:r>
          </w:p>
        </w:tc>
        <w:tc>
          <w:tcPr>
            <w:tcW w:type="dxa" w:w="1728"/>
          </w:tcPr>
          <w:p>
            <w:r>
              <w:rPr>
                <w:rFonts w:ascii="Calibri" w:hAnsi="Calibri"/>
                <w:b/>
                <w:color w:val="30A46C"/>
                <w:sz w:val="22"/>
              </w:rPr>
              <w:t>+8.5%</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$0.19</w:t>
            </w:r>
          </w:p>
        </w:tc>
        <w:tc>
          <w:tcPr>
            <w:tcW w:type="dxa" w:w="1728"/>
          </w:tcPr>
          <w:p>
            <w:r>
              <w:rPr>
                <w:rFonts w:ascii="Calibri" w:hAnsi="Calibri"/>
                <w:sz w:val="22"/>
              </w:rPr>
              <w:t>$0.11</w:t>
            </w:r>
          </w:p>
        </w:tc>
        <w:tc>
          <w:tcPr>
            <w:tcW w:type="dxa" w:w="1728"/>
          </w:tcPr>
          <w:p>
            <w:r>
              <w:rPr>
                <w:rFonts w:ascii="Calibri" w:hAnsi="Calibri"/>
                <w:b/>
                <w:color w:val="30A46C"/>
                <w:sz w:val="22"/>
              </w:rPr>
              <w:t>+75.5%</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$0.11</w:t>
            </w:r>
          </w:p>
        </w:tc>
        <w:tc>
          <w:tcPr>
            <w:tcW w:type="dxa" w:w="1728"/>
          </w:tcPr>
          <w:p>
            <w:r>
              <w:rPr>
                <w:rFonts w:ascii="Calibri" w:hAnsi="Calibri"/>
                <w:sz w:val="22"/>
              </w:rPr>
              <w:t>$0.09</w:t>
            </w:r>
          </w:p>
        </w:tc>
        <w:tc>
          <w:tcPr>
            <w:tcW w:type="dxa" w:w="1728"/>
          </w:tcPr>
          <w:p>
            <w:r>
              <w:rPr>
                <w:rFonts w:ascii="Calibri" w:hAnsi="Calibri"/>
                <w:b/>
                <w:color w:val="30A46C"/>
                <w:sz w:val="22"/>
              </w:rPr>
              <w:t>+20.4%</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$0.51</w:t>
            </w:r>
          </w:p>
        </w:tc>
        <w:tc>
          <w:tcPr>
            <w:tcW w:type="dxa" w:w="1728"/>
          </w:tcPr>
          <w:p>
            <w:r>
              <w:rPr>
                <w:rFonts w:ascii="Calibri" w:hAnsi="Calibri"/>
                <w:sz w:val="22"/>
              </w:rPr>
              <w:t>$0.52</w:t>
            </w:r>
          </w:p>
        </w:tc>
        <w:tc>
          <w:tcPr>
            <w:tcW w:type="dxa" w:w="1728"/>
          </w:tcPr>
          <w:p>
            <w:r>
              <w:rPr>
                <w:rFonts w:ascii="Calibri" w:hAnsi="Calibri"/>
                <w:b/>
                <w:color w:val="E5484D"/>
                <w:sz w:val="22"/>
              </w:rPr>
              <w:t>-1.3%</w:t>
            </w:r>
          </w:p>
        </w:tc>
        <w:tc>
          <w:tcPr>
            <w:tcW w:type="dxa" w:w="1728"/>
          </w:tcPr>
          <w:p>
            <w:r>
              <w:rPr>
                <w:rFonts w:ascii="Calibri" w:hAnsi="Calibri"/>
                <w:b/>
                <w:color w:val="E5484D"/>
                <w:sz w:val="22"/>
              </w:rPr>
              <w:t>Miss</w:t>
            </w:r>
          </w:p>
        </w:tc>
      </w:tr>
      <w:tr>
        <w:tc>
          <w:tcPr>
            <w:tcW w:type="dxa" w:w="1728"/>
          </w:tcPr>
          <w:p>
            <w:r>
              <w:rPr>
                <w:rFonts w:ascii="Calibri" w:hAnsi="Calibri"/>
                <w:sz w:val="22"/>
              </w:rPr>
              <w:t>Q3 2025</w:t>
            </w:r>
          </w:p>
        </w:tc>
        <w:tc>
          <w:tcPr>
            <w:tcW w:type="dxa" w:w="1728"/>
          </w:tcPr>
          <w:p>
            <w:r>
              <w:rPr>
                <w:rFonts w:ascii="Calibri" w:hAnsi="Calibri"/>
                <w:sz w:val="22"/>
              </w:rPr>
              <w:t>$1.20</w:t>
            </w:r>
          </w:p>
        </w:tc>
        <w:tc>
          <w:tcPr>
            <w:tcW w:type="dxa" w:w="1728"/>
          </w:tcPr>
          <w:p>
            <w:r>
              <w:rPr>
                <w:rFonts w:ascii="Calibri" w:hAnsi="Calibri"/>
                <w:sz w:val="22"/>
              </w:rPr>
              <w:t>$1.16</w:t>
            </w:r>
          </w:p>
        </w:tc>
        <w:tc>
          <w:tcPr>
            <w:tcW w:type="dxa" w:w="1728"/>
          </w:tcPr>
          <w:p>
            <w:r>
              <w:rPr>
                <w:rFonts w:ascii="Calibri" w:hAnsi="Calibri"/>
                <w:b/>
                <w:color w:val="30A46C"/>
                <w:sz w:val="22"/>
              </w:rPr>
              <w:t>+3.6%</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$0.28</w:t>
            </w:r>
          </w:p>
        </w:tc>
        <w:tc>
          <w:tcPr>
            <w:tcW w:type="dxa" w:w="1728"/>
          </w:tcPr>
          <w:p>
            <w:r>
              <w:rPr>
                <w:rFonts w:ascii="Calibri" w:hAnsi="Calibri"/>
                <w:sz w:val="22"/>
              </w:rPr>
              <w:t>$0.26</w:t>
            </w:r>
          </w:p>
        </w:tc>
        <w:tc>
          <w:tcPr>
            <w:tcW w:type="dxa" w:w="1728"/>
          </w:tcPr>
          <w:p>
            <w:r>
              <w:rPr>
                <w:rFonts w:ascii="Calibri" w:hAnsi="Calibri"/>
                <w:b/>
                <w:color w:val="30A46C"/>
                <w:sz w:val="22"/>
              </w:rPr>
              <w:t>+5.7%</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$0.23</w:t>
            </w:r>
          </w:p>
        </w:tc>
        <w:tc>
          <w:tcPr>
            <w:tcW w:type="dxa" w:w="1728"/>
          </w:tcPr>
          <w:p>
            <w:r>
              <w:rPr>
                <w:rFonts w:ascii="Calibri" w:hAnsi="Calibri"/>
                <w:sz w:val="22"/>
              </w:rPr>
              <w:t>$0.14</w:t>
            </w:r>
          </w:p>
        </w:tc>
        <w:tc>
          <w:tcPr>
            <w:tcW w:type="dxa" w:w="1728"/>
          </w:tcPr>
          <w:p>
            <w:r>
              <w:rPr>
                <w:rFonts w:ascii="Calibri" w:hAnsi="Calibri"/>
                <w:b/>
                <w:color w:val="30A46C"/>
                <w:sz w:val="22"/>
              </w:rPr>
              <w:t>+59.4%</w:t>
            </w:r>
          </w:p>
        </w:tc>
        <w:tc>
          <w:tcPr>
            <w:tcW w:type="dxa" w:w="1728"/>
          </w:tcPr>
          <w:p>
            <w:r>
              <w:rPr>
                <w:rFonts w:ascii="Calibri" w:hAnsi="Calibri"/>
                <w:b/>
                <w:color w:val="30A46C"/>
                <w:sz w:val="22"/>
              </w:rPr>
              <w:t>Beat</w:t>
            </w:r>
          </w:p>
        </w:tc>
      </w:tr>
      <w:tr>
        <w:tc>
          <w:tcPr>
            <w:tcW w:type="dxa" w:w="1728"/>
          </w:tcPr>
          <w:p>
            <w:r>
              <w:rPr>
                <w:rFonts w:ascii="Calibri" w:hAnsi="Calibri"/>
                <w:sz w:val="22"/>
              </w:rPr>
              <w:t>Q2 2026E</w:t>
            </w:r>
          </w:p>
        </w:tc>
        <w:tc>
          <w:tcPr>
            <w:tcW w:type="dxa" w:w="1728"/>
          </w:tcPr>
          <w:p>
            <w:r>
              <w:rPr>
                <w:rFonts w:ascii="Calibri" w:hAnsi="Calibri"/>
                <w:sz w:val="22"/>
              </w:rPr>
              <w:t>TBD</w:t>
            </w:r>
          </w:p>
        </w:tc>
        <w:tc>
          <w:tcPr>
            <w:tcW w:type="dxa" w:w="1728"/>
          </w:tcPr>
          <w:p>
            <w:r>
              <w:rPr>
                <w:rFonts w:ascii="Calibri" w:hAnsi="Calibri"/>
                <w:sz w:val="22"/>
              </w:rPr>
              <w:t>$0.39</w:t>
            </w:r>
          </w:p>
        </w:tc>
        <w:tc>
          <w:tcPr>
            <w:tcW w:type="dxa" w:w="1728"/>
          </w:tcPr>
          <w:p>
            <w:r>
              <w:rPr>
                <w:rFonts w:ascii="Calibri" w:hAnsi="Calibri"/>
                <w:sz w:val="22"/>
              </w:rPr>
              <w:t>TBD</w:t>
            </w:r>
          </w:p>
        </w:tc>
        <w:tc>
          <w:tcPr>
            <w:tcW w:type="dxa" w:w="1728"/>
          </w:tcPr>
          <w:p>
            <w:r>
              <w:rPr>
                <w:rFonts w:ascii="Calibri" w:hAnsi="Calibri"/>
                <w:sz w:val="22"/>
              </w:rPr>
              <w:t>TBD</w:t>
            </w:r>
          </w:p>
        </w:tc>
      </w:tr>
    </w:tbl>
    <w:p>
      <w:pPr>
        <w:pStyle w:val="Heading3"/>
      </w:pPr>
      <w:r>
        <w:rPr>
          <w:rFonts w:ascii="Calibri" w:hAnsi="Calibri"/>
          <w:b/>
          <w:color w:val="3B4259"/>
          <w:sz w:val="24"/>
        </w:rPr>
        <w:t>Net Yield (Constant Currency Growth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(pp)</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Q3 2024</w:t>
            </w:r>
          </w:p>
        </w:tc>
        <w:tc>
          <w:tcPr>
            <w:tcW w:type="dxa" w:w="1728"/>
          </w:tcPr>
          <w:p>
            <w:r>
              <w:rPr>
                <w:rFonts w:ascii="Calibri" w:hAnsi="Calibri"/>
                <w:sz w:val="22"/>
              </w:rPr>
              <w:t>+9.0%</w:t>
            </w:r>
          </w:p>
        </w:tc>
        <w:tc>
          <w:tcPr>
            <w:tcW w:type="dxa" w:w="1728"/>
          </w:tcPr>
          <w:p>
            <w:r>
              <w:rPr>
                <w:rFonts w:ascii="Calibri" w:hAnsi="Calibri"/>
                <w:sz w:val="22"/>
              </w:rPr>
              <w:t>+6.9%</w:t>
            </w:r>
          </w:p>
        </w:tc>
        <w:tc>
          <w:tcPr>
            <w:tcW w:type="dxa" w:w="1728"/>
          </w:tcPr>
          <w:p>
            <w:r>
              <w:rPr>
                <w:rFonts w:ascii="Calibri" w:hAnsi="Calibri"/>
                <w:b/>
                <w:color w:val="30A46C"/>
                <w:sz w:val="22"/>
              </w:rPr>
              <w:t>+2.1pp</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+9.0%</w:t>
            </w:r>
          </w:p>
        </w:tc>
        <w:tc>
          <w:tcPr>
            <w:tcW w:type="dxa" w:w="1728"/>
          </w:tcPr>
          <w:p>
            <w:r>
              <w:rPr>
                <w:rFonts w:ascii="Calibri" w:hAnsi="Calibri"/>
                <w:sz w:val="22"/>
              </w:rPr>
              <w:t>+7.8%</w:t>
            </w:r>
          </w:p>
        </w:tc>
        <w:tc>
          <w:tcPr>
            <w:tcW w:type="dxa" w:w="1728"/>
          </w:tcPr>
          <w:p>
            <w:r>
              <w:rPr>
                <w:rFonts w:ascii="Calibri" w:hAnsi="Calibri"/>
                <w:b/>
                <w:color w:val="30A46C"/>
                <w:sz w:val="22"/>
              </w:rPr>
              <w:t>+1.2pp</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+1.2%</w:t>
            </w:r>
          </w:p>
        </w:tc>
        <w:tc>
          <w:tcPr>
            <w:tcW w:type="dxa" w:w="1728"/>
          </w:tcPr>
          <w:p>
            <w:r>
              <w:rPr>
                <w:rFonts w:ascii="Calibri" w:hAnsi="Calibri"/>
                <w:sz w:val="22"/>
              </w:rPr>
              <w:t>+0.4%</w:t>
            </w:r>
          </w:p>
        </w:tc>
        <w:tc>
          <w:tcPr>
            <w:tcW w:type="dxa" w:w="1728"/>
          </w:tcPr>
          <w:p>
            <w:r>
              <w:rPr>
                <w:rFonts w:ascii="Calibri" w:hAnsi="Calibri"/>
                <w:b/>
                <w:color w:val="30A46C"/>
                <w:sz w:val="22"/>
              </w:rPr>
              <w:t>+0.8pp</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+3.1%</w:t>
            </w:r>
          </w:p>
        </w:tc>
        <w:tc>
          <w:tcPr>
            <w:tcW w:type="dxa" w:w="1728"/>
          </w:tcPr>
          <w:p>
            <w:r>
              <w:rPr>
                <w:rFonts w:ascii="Calibri" w:hAnsi="Calibri"/>
                <w:sz w:val="22"/>
              </w:rPr>
              <w:t>+2.9%</w:t>
            </w:r>
          </w:p>
        </w:tc>
        <w:tc>
          <w:tcPr>
            <w:tcW w:type="dxa" w:w="1728"/>
          </w:tcPr>
          <w:p>
            <w:r>
              <w:rPr>
                <w:rFonts w:ascii="Calibri" w:hAnsi="Calibri"/>
                <w:b/>
                <w:color w:val="30A46C"/>
                <w:sz w:val="22"/>
              </w:rPr>
              <w:t>+0.2pp</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+1.5%</w:t>
            </w:r>
          </w:p>
        </w:tc>
        <w:tc>
          <w:tcPr>
            <w:tcW w:type="dxa" w:w="1728"/>
          </w:tcPr>
          <w:p>
            <w:r>
              <w:rPr>
                <w:rFonts w:ascii="Calibri" w:hAnsi="Calibri"/>
                <w:sz w:val="22"/>
              </w:rPr>
              <w:t>+1.8%</w:t>
            </w:r>
          </w:p>
        </w:tc>
        <w:tc>
          <w:tcPr>
            <w:tcW w:type="dxa" w:w="1728"/>
          </w:tcPr>
          <w:p>
            <w:r>
              <w:rPr>
                <w:rFonts w:ascii="Calibri" w:hAnsi="Calibri"/>
                <w:b/>
                <w:color w:val="E5484D"/>
                <w:sz w:val="22"/>
              </w:rPr>
              <w:t>-0.3pp</w:t>
            </w:r>
          </w:p>
        </w:tc>
        <w:tc>
          <w:tcPr>
            <w:tcW w:type="dxa" w:w="1728"/>
          </w:tcPr>
          <w:p>
            <w:r>
              <w:rPr>
                <w:rFonts w:ascii="Calibri" w:hAnsi="Calibri"/>
                <w:b/>
                <w:color w:val="E5484D"/>
                <w:sz w:val="22"/>
              </w:rPr>
              <w:t>Miss</w:t>
            </w:r>
          </w:p>
        </w:tc>
      </w:tr>
      <w:tr>
        <w:tc>
          <w:tcPr>
            <w:tcW w:type="dxa" w:w="1728"/>
          </w:tcPr>
          <w:p>
            <w:r>
              <w:rPr>
                <w:rFonts w:ascii="Calibri" w:hAnsi="Calibri"/>
                <w:sz w:val="22"/>
              </w:rPr>
              <w:t>Q4 2025</w:t>
            </w:r>
          </w:p>
        </w:tc>
        <w:tc>
          <w:tcPr>
            <w:tcW w:type="dxa" w:w="1728"/>
          </w:tcPr>
          <w:p>
            <w:r>
              <w:rPr>
                <w:rFonts w:ascii="Calibri" w:hAnsi="Calibri"/>
                <w:sz w:val="22"/>
              </w:rPr>
              <w:t>+3.8%</w:t>
            </w:r>
          </w:p>
        </w:tc>
        <w:tc>
          <w:tcPr>
            <w:tcW w:type="dxa" w:w="1728"/>
          </w:tcPr>
          <w:p>
            <w:r>
              <w:rPr>
                <w:rFonts w:ascii="Calibri" w:hAnsi="Calibri"/>
                <w:sz w:val="22"/>
              </w:rPr>
              <w:t>+3.6%</w:t>
            </w:r>
          </w:p>
        </w:tc>
        <w:tc>
          <w:tcPr>
            <w:tcW w:type="dxa" w:w="1728"/>
          </w:tcPr>
          <w:p>
            <w:r>
              <w:rPr>
                <w:rFonts w:ascii="Calibri" w:hAnsi="Calibri"/>
                <w:b/>
                <w:color w:val="30A46C"/>
                <w:sz w:val="22"/>
              </w:rPr>
              <w:t>+0.2pp</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-1.0%</w:t>
            </w:r>
          </w:p>
        </w:tc>
        <w:tc>
          <w:tcPr>
            <w:tcW w:type="dxa" w:w="1728"/>
          </w:tcPr>
          <w:p>
            <w:r>
              <w:rPr>
                <w:rFonts w:ascii="Calibri" w:hAnsi="Calibri"/>
                <w:sz w:val="22"/>
              </w:rPr>
              <w:t>-1.4%</w:t>
            </w:r>
          </w:p>
        </w:tc>
        <w:tc>
          <w:tcPr>
            <w:tcW w:type="dxa" w:w="1728"/>
          </w:tcPr>
          <w:p>
            <w:r>
              <w:rPr>
                <w:rFonts w:ascii="Calibri" w:hAnsi="Calibri"/>
                <w:b/>
                <w:color w:val="30A46C"/>
                <w:sz w:val="22"/>
              </w:rPr>
              <w:t>+0.4pp</w:t>
            </w:r>
          </w:p>
        </w:tc>
        <w:tc>
          <w:tcPr>
            <w:tcW w:type="dxa" w:w="1728"/>
          </w:tcPr>
          <w:p>
            <w:r>
              <w:rPr>
                <w:rFonts w:ascii="Calibri" w:hAnsi="Calibri"/>
                <w:b/>
                <w:color w:val="30A46C"/>
                <w:sz w:val="22"/>
              </w:rPr>
              <w:t>Beat</w:t>
            </w:r>
          </w:p>
        </w:tc>
      </w:tr>
      <w:tr>
        <w:tc>
          <w:tcPr>
            <w:tcW w:type="dxa" w:w="1728"/>
          </w:tcPr>
          <w:p>
            <w:r>
              <w:rPr>
                <w:rFonts w:ascii="Calibri" w:hAnsi="Calibri"/>
                <w:sz w:val="22"/>
              </w:rPr>
              <w:t>Q2 2026E</w:t>
            </w:r>
          </w:p>
        </w:tc>
        <w:tc>
          <w:tcPr>
            <w:tcW w:type="dxa" w:w="1728"/>
          </w:tcPr>
          <w:p>
            <w:r>
              <w:rPr>
                <w:rFonts w:ascii="Calibri" w:hAnsi="Calibri"/>
                <w:sz w:val="22"/>
              </w:rPr>
              <w:t>TBD</w:t>
            </w:r>
          </w:p>
        </w:tc>
        <w:tc>
          <w:tcPr>
            <w:tcW w:type="dxa" w:w="1728"/>
          </w:tcPr>
          <w:p>
            <w:r>
              <w:rPr>
                <w:rFonts w:ascii="Calibri" w:hAnsi="Calibri"/>
                <w:sz w:val="22"/>
              </w:rPr>
              <w:t>-3.5% CC</w:t>
            </w:r>
          </w:p>
        </w:tc>
        <w:tc>
          <w:tcPr>
            <w:tcW w:type="dxa" w:w="1728"/>
          </w:tcPr>
          <w:p>
            <w:r>
              <w:rPr>
                <w:rFonts w:ascii="Calibri" w:hAnsi="Calibri"/>
                <w:sz w:val="22"/>
              </w:rPr>
              <w:t>TBD</w:t>
            </w:r>
          </w:p>
        </w:tc>
        <w:tc>
          <w:tcPr>
            <w:tcW w:type="dxa" w:w="1728"/>
          </w:tcPr>
          <w:p>
            <w:r>
              <w:rPr>
                <w:rFonts w:ascii="Calibri" w:hAnsi="Calibri"/>
                <w:sz w:val="22"/>
              </w:rPr>
              <w:t>TBD</w:t>
            </w:r>
          </w:p>
        </w:tc>
      </w:tr>
    </w:tbl>
    <w:p>
      <w:r>
        <w:rPr>
          <w:rFonts w:ascii="Calibri" w:hAnsi="Calibri"/>
          <w:b/>
          <w:color w:val="525866"/>
          <w:sz w:val="22"/>
        </w:rPr>
        <w:t xml:space="preserve">Pattern: </w:t>
      </w:r>
      <w:r>
        <w:rPr>
          <w:rFonts w:ascii="Calibri" w:hAnsi="Calibri"/>
          <w:color w:val="525866"/>
          <w:sz w:val="22"/>
        </w:rPr>
        <w:t>NCLH has beaten Adj. EPS consensus in 6 of the last 7 reported quarters, and net yield in 6 of 7, suggesting a structural tendency to guide conservatively. The Q1 2026 EPS beat of +59% was the largest in the series, driven by cost outperformance. The one miss on net yield (Q3 2025) was modest at -0.3pp.</w:t>
      </w:r>
    </w:p>
    <w:p>
      <w:r>
        <w:rPr>
          <w:rFonts w:ascii="Calibri" w:hAnsi="Calibri"/>
          <w:i/>
          <w:color w:val="525866"/>
          <w:sz w:val="22"/>
        </w:rPr>
        <w:t>Source: Visible Alpha Consensus and Actuals Data.</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 xml:space="preserve">All guidance was set at the Q1 2026 earnings call on May 4, 2026 and has not been formally revised since. </w:t>
      </w:r>
      <w:r>
        <w:rPr>
          <w:rFonts w:ascii="Calibri" w:hAnsi="Calibri"/>
          <w:b/>
          <w:color w:val="525866"/>
          <w:sz w:val="22"/>
        </w:rPr>
        <w:t>No post-earnings 8-K, conference, or investor day has changed the numbers</w:t>
      </w:r>
      <w:r>
        <w:rPr>
          <w:rFonts w:ascii="Calibri" w:hAnsi="Calibri"/>
          <w:color w:val="525866"/>
          <w:sz w:val="22"/>
        </w:rPr>
        <w:t xml:space="preserve"> — the guidance below represents the current baseline. Tone has been consistently cautious, with management explicitly framing 2026 as a turnaround year.</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Call, May 4)</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Net Yield (CC)</w:t>
            </w:r>
          </w:p>
        </w:tc>
        <w:tc>
          <w:tcPr>
            <w:tcW w:type="dxa" w:w="1728"/>
          </w:tcPr>
          <w:p>
            <w:r>
              <w:rPr>
                <w:rFonts w:ascii="Calibri" w:hAnsi="Calibri"/>
                <w:sz w:val="22"/>
              </w:rPr>
              <w:t>~-3.6%</w:t>
            </w:r>
          </w:p>
        </w:tc>
        <w:tc>
          <w:tcPr>
            <w:tcW w:type="dxa" w:w="1728"/>
          </w:tcPr>
          <w:p>
            <w:r>
              <w:rPr>
                <w:rFonts w:ascii="Calibri" w:hAnsi="Calibri"/>
                <w:sz w:val="22"/>
              </w:rPr>
              <w:t>—</w:t>
            </w:r>
          </w:p>
        </w:tc>
        <w:tc>
          <w:tcPr>
            <w:tcW w:type="dxa" w:w="1728"/>
          </w:tcPr>
          <w:p>
            <w:r>
              <w:rPr>
                <w:rFonts w:ascii="Calibri" w:hAnsi="Calibri"/>
                <w:sz w:val="22"/>
              </w:rPr>
              <w:t>-3.5%</w:t>
            </w:r>
          </w:p>
        </w:tc>
        <w:tc>
          <w:tcPr>
            <w:tcW w:type="dxa" w:w="1728"/>
          </w:tcPr>
          <w:p>
            <w:r>
              <w:rPr>
                <w:rFonts w:ascii="Calibri" w:hAnsi="Calibri"/>
                <w:sz w:val="22"/>
              </w:rPr>
              <w:t>Unchanged; consensus essentially at guidance midpoint</w:t>
            </w:r>
          </w:p>
        </w:tc>
      </w:tr>
      <w:tr>
        <w:tc>
          <w:tcPr>
            <w:tcW w:type="dxa" w:w="1728"/>
          </w:tcPr>
          <w:p>
            <w:r>
              <w:rPr>
                <w:rFonts w:ascii="Calibri" w:hAnsi="Calibri"/>
                <w:sz w:val="22"/>
              </w:rPr>
              <w:t>Q2 Adj. EBITDA</w:t>
            </w:r>
          </w:p>
        </w:tc>
        <w:tc>
          <w:tcPr>
            <w:tcW w:type="dxa" w:w="1728"/>
          </w:tcPr>
          <w:p>
            <w:r>
              <w:rPr>
                <w:rFonts w:ascii="Calibri" w:hAnsi="Calibri"/>
                <w:sz w:val="22"/>
              </w:rPr>
              <w:t>~$632M</w:t>
            </w:r>
          </w:p>
        </w:tc>
        <w:tc>
          <w:tcPr>
            <w:tcW w:type="dxa" w:w="1728"/>
          </w:tcPr>
          <w:p>
            <w:r>
              <w:rPr>
                <w:rFonts w:ascii="Calibri" w:hAnsi="Calibri"/>
                <w:sz w:val="22"/>
              </w:rPr>
              <w:t>—</w:t>
            </w:r>
          </w:p>
        </w:tc>
        <w:tc>
          <w:tcPr>
            <w:tcW w:type="dxa" w:w="1728"/>
          </w:tcPr>
          <w:p>
            <w:r>
              <w:rPr>
                <w:rFonts w:ascii="Calibri" w:hAnsi="Calibri"/>
                <w:sz w:val="22"/>
              </w:rPr>
              <w:t>$636M</w:t>
            </w:r>
          </w:p>
        </w:tc>
        <w:tc>
          <w:tcPr>
            <w:tcW w:type="dxa" w:w="1728"/>
          </w:tcPr>
          <w:p>
            <w:r>
              <w:rPr>
                <w:rFonts w:ascii="Calibri" w:hAnsi="Calibri"/>
                <w:sz w:val="22"/>
              </w:rPr>
              <w:t>Unchanged; consensus slightly above guidance</w:t>
            </w:r>
          </w:p>
        </w:tc>
      </w:tr>
      <w:tr>
        <w:tc>
          <w:tcPr>
            <w:tcW w:type="dxa" w:w="1728"/>
          </w:tcPr>
          <w:p>
            <w:r>
              <w:rPr>
                <w:rFonts w:ascii="Calibri" w:hAnsi="Calibri"/>
                <w:sz w:val="22"/>
              </w:rPr>
              <w:t>Q2 Adj. EPS</w:t>
            </w:r>
          </w:p>
        </w:tc>
        <w:tc>
          <w:tcPr>
            <w:tcW w:type="dxa" w:w="1728"/>
          </w:tcPr>
          <w:p>
            <w:r>
              <w:rPr>
                <w:rFonts w:ascii="Calibri" w:hAnsi="Calibri"/>
                <w:sz w:val="22"/>
              </w:rPr>
              <w:t>~$0.38</w:t>
            </w:r>
          </w:p>
        </w:tc>
        <w:tc>
          <w:tcPr>
            <w:tcW w:type="dxa" w:w="1728"/>
          </w:tcPr>
          <w:p>
            <w:r>
              <w:rPr>
                <w:rFonts w:ascii="Calibri" w:hAnsi="Calibri"/>
                <w:sz w:val="22"/>
              </w:rPr>
              <w:t>—</w:t>
            </w:r>
          </w:p>
        </w:tc>
        <w:tc>
          <w:tcPr>
            <w:tcW w:type="dxa" w:w="1728"/>
          </w:tcPr>
          <w:p>
            <w:r>
              <w:rPr>
                <w:rFonts w:ascii="Calibri" w:hAnsi="Calibri"/>
                <w:sz w:val="22"/>
              </w:rPr>
              <w:t>$0.39</w:t>
            </w:r>
          </w:p>
        </w:tc>
        <w:tc>
          <w:tcPr>
            <w:tcW w:type="dxa" w:w="1728"/>
          </w:tcPr>
          <w:p>
            <w:r>
              <w:rPr>
                <w:rFonts w:ascii="Calibri" w:hAnsi="Calibri"/>
                <w:sz w:val="22"/>
              </w:rPr>
              <w:t>Unchanged; consensus $0.01 above guidance</w:t>
            </w:r>
          </w:p>
        </w:tc>
      </w:tr>
      <w:tr>
        <w:tc>
          <w:tcPr>
            <w:tcW w:type="dxa" w:w="1728"/>
          </w:tcPr>
          <w:p>
            <w:r>
              <w:rPr>
                <w:rFonts w:ascii="Calibri" w:hAnsi="Calibri"/>
                <w:sz w:val="22"/>
              </w:rPr>
              <w:t>Q2 Occupancy</w:t>
            </w:r>
          </w:p>
        </w:tc>
        <w:tc>
          <w:tcPr>
            <w:tcW w:type="dxa" w:w="1728"/>
          </w:tcPr>
          <w:p>
            <w:r>
              <w:rPr>
                <w:rFonts w:ascii="Calibri" w:hAnsi="Calibri"/>
                <w:sz w:val="22"/>
              </w:rPr>
              <w:t>~102.5%</w:t>
            </w:r>
          </w:p>
        </w:tc>
        <w:tc>
          <w:tcPr>
            <w:tcW w:type="dxa" w:w="1728"/>
          </w:tcPr>
          <w:p>
            <w:r>
              <w:rPr>
                <w:rFonts w:ascii="Calibri" w:hAnsi="Calibri"/>
                <w:sz w:val="22"/>
              </w:rPr>
              <w:t>—</w:t>
            </w:r>
          </w:p>
        </w:tc>
        <w:tc>
          <w:tcPr>
            <w:tcW w:type="dxa" w:w="1728"/>
          </w:tcPr>
          <w:p>
            <w:r>
              <w:rPr>
                <w:rFonts w:ascii="Calibri" w:hAnsi="Calibri"/>
                <w:sz w:val="22"/>
              </w:rPr>
              <w:t>103.0%</w:t>
            </w:r>
          </w:p>
        </w:tc>
        <w:tc>
          <w:tcPr>
            <w:tcW w:type="dxa" w:w="1728"/>
          </w:tcPr>
          <w:p>
            <w:r>
              <w:rPr>
                <w:rFonts w:ascii="Calibri" w:hAnsi="Calibri"/>
                <w:sz w:val="22"/>
              </w:rPr>
              <w:t>Consensus slightly above guidance</w:t>
            </w:r>
          </w:p>
        </w:tc>
      </w:tr>
      <w:tr>
        <w:tc>
          <w:tcPr>
            <w:tcW w:type="dxa" w:w="1728"/>
          </w:tcPr>
          <w:p>
            <w:r>
              <w:rPr>
                <w:rFonts w:ascii="Calibri" w:hAnsi="Calibri"/>
                <w:sz w:val="22"/>
              </w:rPr>
              <w:t>Q2 NCC ex-Fuel/APCD (CC)</w:t>
            </w:r>
          </w:p>
        </w:tc>
        <w:tc>
          <w:tcPr>
            <w:tcW w:type="dxa" w:w="1728"/>
          </w:tcPr>
          <w:p>
            <w:r>
              <w:rPr>
                <w:rFonts w:ascii="Calibri" w:hAnsi="Calibri"/>
                <w:sz w:val="22"/>
              </w:rPr>
              <w:t>~+1.0%</w:t>
            </w:r>
          </w:p>
        </w:tc>
        <w:tc>
          <w:tcPr>
            <w:tcW w:type="dxa" w:w="1728"/>
          </w:tcPr>
          <w:p>
            <w:r>
              <w:rPr>
                <w:rFonts w:ascii="Calibri" w:hAnsi="Calibri"/>
                <w:sz w:val="22"/>
              </w:rPr>
              <w:t>—</w:t>
            </w:r>
          </w:p>
        </w:tc>
        <w:tc>
          <w:tcPr>
            <w:tcW w:type="dxa" w:w="1728"/>
          </w:tcPr>
          <w:p>
            <w:r>
              <w:rPr>
                <w:rFonts w:ascii="Calibri" w:hAnsi="Calibri"/>
                <w:sz w:val="22"/>
              </w:rPr>
              <w:t>+1.0%</w:t>
            </w:r>
          </w:p>
        </w:tc>
        <w:tc>
          <w:tcPr>
            <w:tcW w:type="dxa" w:w="1728"/>
          </w:tcPr>
          <w:p>
            <w:r>
              <w:rPr>
                <w:rFonts w:ascii="Calibri" w:hAnsi="Calibri"/>
                <w:sz w:val="22"/>
              </w:rPr>
              <w:t>Unchanged; in line</w:t>
            </w:r>
          </w:p>
        </w:tc>
      </w:tr>
      <w:tr>
        <w:tc>
          <w:tcPr>
            <w:tcW w:type="dxa" w:w="1728"/>
          </w:tcPr>
          <w:p>
            <w:r>
              <w:rPr>
                <w:rFonts w:ascii="Calibri" w:hAnsi="Calibri"/>
                <w:sz w:val="22"/>
              </w:rPr>
              <w:t>FY 2026 Net Yield (CC)</w:t>
            </w:r>
          </w:p>
        </w:tc>
        <w:tc>
          <w:tcPr>
            <w:tcW w:type="dxa" w:w="1728"/>
          </w:tcPr>
          <w:p>
            <w:r>
              <w:rPr>
                <w:rFonts w:ascii="Calibri" w:hAnsi="Calibri"/>
                <w:sz w:val="22"/>
              </w:rPr>
              <w:t>-3.0% to -5.0%</w:t>
            </w:r>
          </w:p>
        </w:tc>
        <w:tc>
          <w:tcPr>
            <w:tcW w:type="dxa" w:w="1728"/>
          </w:tcPr>
          <w:p>
            <w:r>
              <w:rPr>
                <w:rFonts w:ascii="Calibri" w:hAnsi="Calibri"/>
                <w:sz w:val="22"/>
              </w:rPr>
              <w:t>—</w:t>
            </w:r>
          </w:p>
        </w:tc>
        <w:tc>
          <w:tcPr>
            <w:tcW w:type="dxa" w:w="1728"/>
          </w:tcPr>
          <w:p>
            <w:r>
              <w:rPr>
                <w:rFonts w:ascii="Calibri" w:hAnsi="Calibri"/>
                <w:sz w:val="22"/>
              </w:rPr>
              <w:t>-4.1%</w:t>
            </w:r>
          </w:p>
        </w:tc>
        <w:tc>
          <w:tcPr>
            <w:tcW w:type="dxa" w:w="1728"/>
          </w:tcPr>
          <w:p>
            <w:r>
              <w:rPr>
                <w:rFonts w:ascii="Calibri" w:hAnsi="Calibri"/>
                <w:sz w:val="22"/>
              </w:rPr>
              <w:t>Consensus near midpoint of guidance range</w:t>
            </w:r>
          </w:p>
        </w:tc>
      </w:tr>
      <w:tr>
        <w:tc>
          <w:tcPr>
            <w:tcW w:type="dxa" w:w="1728"/>
          </w:tcPr>
          <w:p>
            <w:r>
              <w:rPr>
                <w:rFonts w:ascii="Calibri" w:hAnsi="Calibri"/>
                <w:sz w:val="22"/>
              </w:rPr>
              <w:t>FY 2026 Adj. EBITDA</w:t>
            </w:r>
          </w:p>
        </w:tc>
        <w:tc>
          <w:tcPr>
            <w:tcW w:type="dxa" w:w="1728"/>
          </w:tcPr>
          <w:p>
            <w:r>
              <w:rPr>
                <w:rFonts w:ascii="Calibri" w:hAnsi="Calibri"/>
                <w:sz w:val="22"/>
              </w:rPr>
              <w:t>$2.48B – $2.64B</w:t>
            </w:r>
          </w:p>
        </w:tc>
        <w:tc>
          <w:tcPr>
            <w:tcW w:type="dxa" w:w="1728"/>
          </w:tcPr>
          <w:p>
            <w:r>
              <w:rPr>
                <w:rFonts w:ascii="Calibri" w:hAnsi="Calibri"/>
                <w:sz w:val="22"/>
              </w:rPr>
              <w:t>—</w:t>
            </w:r>
          </w:p>
        </w:tc>
        <w:tc>
          <w:tcPr>
            <w:tcW w:type="dxa" w:w="1728"/>
          </w:tcPr>
          <w:p>
            <w:r>
              <w:rPr>
                <w:rFonts w:ascii="Calibri" w:hAnsi="Calibri"/>
                <w:sz w:val="22"/>
              </w:rPr>
              <w:t>$2.57B</w:t>
            </w:r>
          </w:p>
        </w:tc>
        <w:tc>
          <w:tcPr>
            <w:tcW w:type="dxa" w:w="1728"/>
          </w:tcPr>
          <w:p>
            <w:r>
              <w:rPr>
                <w:rFonts w:ascii="Calibri" w:hAnsi="Calibri"/>
                <w:sz w:val="22"/>
              </w:rPr>
              <w:t>Consensus near midpoint; no post-earnings revision</w:t>
            </w:r>
          </w:p>
        </w:tc>
      </w:tr>
      <w:tr>
        <w:tc>
          <w:tcPr>
            <w:tcW w:type="dxa" w:w="1728"/>
          </w:tcPr>
          <w:p>
            <w:r>
              <w:rPr>
                <w:rFonts w:ascii="Calibri" w:hAnsi="Calibri"/>
                <w:sz w:val="22"/>
              </w:rPr>
              <w:t>FY 2026 Adj. EPS</w:t>
            </w:r>
          </w:p>
        </w:tc>
        <w:tc>
          <w:tcPr>
            <w:tcW w:type="dxa" w:w="1728"/>
          </w:tcPr>
          <w:p>
            <w:r>
              <w:rPr>
                <w:rFonts w:ascii="Calibri" w:hAnsi="Calibri"/>
                <w:sz w:val="22"/>
              </w:rPr>
              <w:t>$1.45 – $1.79</w:t>
            </w:r>
          </w:p>
        </w:tc>
        <w:tc>
          <w:tcPr>
            <w:tcW w:type="dxa" w:w="1728"/>
          </w:tcPr>
          <w:p>
            <w:r>
              <w:rPr>
                <w:rFonts w:ascii="Calibri" w:hAnsi="Calibri"/>
                <w:sz w:val="22"/>
              </w:rPr>
              <w:t>—</w:t>
            </w:r>
          </w:p>
        </w:tc>
        <w:tc>
          <w:tcPr>
            <w:tcW w:type="dxa" w:w="1728"/>
          </w:tcPr>
          <w:p>
            <w:r>
              <w:rPr>
                <w:rFonts w:ascii="Calibri" w:hAnsi="Calibri"/>
                <w:sz w:val="22"/>
              </w:rPr>
              <w:t>$1.66</w:t>
            </w:r>
          </w:p>
        </w:tc>
        <w:tc>
          <w:tcPr>
            <w:tcW w:type="dxa" w:w="1728"/>
          </w:tcPr>
          <w:p>
            <w:r>
              <w:rPr>
                <w:rFonts w:ascii="Calibri" w:hAnsi="Calibri"/>
                <w:sz w:val="22"/>
              </w:rPr>
              <w:t>Consensus near midpoint; reflects turnaround uncertainty</w:t>
            </w:r>
          </w:p>
        </w:tc>
      </w:tr>
      <w:tr>
        <w:tc>
          <w:tcPr>
            <w:tcW w:type="dxa" w:w="1728"/>
          </w:tcPr>
          <w:p>
            <w:r>
              <w:rPr>
                <w:rFonts w:ascii="Calibri" w:hAnsi="Calibri"/>
                <w:sz w:val="22"/>
              </w:rPr>
              <w:t>FY 2026 NCC ex-Fuel (CC)</w:t>
            </w:r>
          </w:p>
        </w:tc>
        <w:tc>
          <w:tcPr>
            <w:tcW w:type="dxa" w:w="1728"/>
          </w:tcPr>
          <w:p>
            <w:r>
              <w:rPr>
                <w:rFonts w:ascii="Calibri" w:hAnsi="Calibri"/>
                <w:sz w:val="22"/>
              </w:rPr>
              <w:t>~Flat (0.0%)</w:t>
            </w:r>
          </w:p>
        </w:tc>
        <w:tc>
          <w:tcPr>
            <w:tcW w:type="dxa" w:w="1728"/>
          </w:tcPr>
          <w:p>
            <w:r>
              <w:rPr>
                <w:rFonts w:ascii="Calibri" w:hAnsi="Calibri"/>
                <w:sz w:val="22"/>
              </w:rPr>
              <w:t>—</w:t>
            </w:r>
          </w:p>
        </w:tc>
        <w:tc>
          <w:tcPr>
            <w:tcW w:type="dxa" w:w="1728"/>
          </w:tcPr>
          <w:p>
            <w:r>
              <w:rPr>
                <w:rFonts w:ascii="Calibri" w:hAnsi="Calibri"/>
                <w:sz w:val="22"/>
              </w:rPr>
              <w:t>~0.0%</w:t>
            </w:r>
          </w:p>
        </w:tc>
        <w:tc>
          <w:tcPr>
            <w:tcW w:type="dxa" w:w="1728"/>
          </w:tcPr>
          <w:p>
            <w:r>
              <w:rPr>
                <w:rFonts w:ascii="Calibri" w:hAnsi="Calibri"/>
                <w:sz w:val="22"/>
              </w:rPr>
              <w:t>Unchanged; $125M annualized SG&amp;A savings embedded</w:t>
            </w:r>
          </w:p>
        </w:tc>
      </w:tr>
      <w:tr>
        <w:tc>
          <w:tcPr>
            <w:tcW w:type="dxa" w:w="1728"/>
          </w:tcPr>
          <w:p>
            <w:r>
              <w:rPr>
                <w:rFonts w:ascii="Calibri" w:hAnsi="Calibri"/>
                <w:sz w:val="22"/>
              </w:rPr>
              <w:t>FY 2026 Occupancy</w:t>
            </w:r>
          </w:p>
        </w:tc>
        <w:tc>
          <w:tcPr>
            <w:tcW w:type="dxa" w:w="1728"/>
          </w:tcPr>
          <w:p>
            <w:r>
              <w:rPr>
                <w:rFonts w:ascii="Calibri" w:hAnsi="Calibri"/>
                <w:sz w:val="22"/>
              </w:rPr>
              <w:t>~104.2%</w:t>
            </w:r>
          </w:p>
        </w:tc>
        <w:tc>
          <w:tcPr>
            <w:tcW w:type="dxa" w:w="1728"/>
          </w:tcPr>
          <w:p>
            <w:r>
              <w:rPr>
                <w:rFonts w:ascii="Calibri" w:hAnsi="Calibri"/>
                <w:sz w:val="22"/>
              </w:rPr>
              <w:t>—</w:t>
            </w:r>
          </w:p>
        </w:tc>
        <w:tc>
          <w:tcPr>
            <w:tcW w:type="dxa" w:w="1728"/>
          </w:tcPr>
          <w:p>
            <w:r>
              <w:rPr>
                <w:rFonts w:ascii="Calibri" w:hAnsi="Calibri"/>
                <w:sz w:val="22"/>
              </w:rPr>
              <w:t>104.3%</w:t>
            </w:r>
          </w:p>
        </w:tc>
        <w:tc>
          <w:tcPr>
            <w:tcW w:type="dxa" w:w="1728"/>
          </w:tcPr>
          <w:p>
            <w:r>
              <w:rPr>
                <w:rFonts w:ascii="Calibri" w:hAnsi="Calibri"/>
                <w:sz w:val="22"/>
              </w:rPr>
              <w:t>Consensus essentially in line</w:t>
            </w:r>
          </w:p>
        </w:tc>
      </w:tr>
      <w:tr>
        <w:tc>
          <w:tcPr>
            <w:tcW w:type="dxa" w:w="1728"/>
          </w:tcPr>
          <w:p>
            <w:r>
              <w:rPr>
                <w:rFonts w:ascii="Calibri" w:hAnsi="Calibri"/>
                <w:sz w:val="22"/>
              </w:rPr>
              <w:t>Year-End Net Leverage</w:t>
            </w:r>
          </w:p>
        </w:tc>
        <w:tc>
          <w:tcPr>
            <w:tcW w:type="dxa" w:w="1728"/>
          </w:tcPr>
          <w:p>
            <w:r>
              <w:rPr>
                <w:rFonts w:ascii="Calibri" w:hAnsi="Calibri"/>
                <w:sz w:val="22"/>
              </w:rPr>
              <w:t>High-5x range</w:t>
            </w:r>
          </w:p>
        </w:tc>
        <w:tc>
          <w:tcPr>
            <w:tcW w:type="dxa" w:w="1728"/>
          </w:tcPr>
          <w:p>
            <w:r>
              <w:rPr>
                <w:rFonts w:ascii="Calibri" w:hAnsi="Calibri"/>
                <w:sz w:val="22"/>
              </w:rPr>
              <w:t>—</w:t>
            </w:r>
          </w:p>
        </w:tc>
        <w:tc>
          <w:tcPr>
            <w:tcW w:type="dxa" w:w="1728"/>
          </w:tcPr>
          <w:p>
            <w:r>
              <w:rPr>
                <w:rFonts w:ascii="Calibri" w:hAnsi="Calibri"/>
                <w:sz w:val="22"/>
              </w:rPr>
              <w:t>~5.8x (est.)</w:t>
            </w:r>
          </w:p>
        </w:tc>
        <w:tc>
          <w:tcPr>
            <w:tcW w:type="dxa" w:w="1728"/>
          </w:tcPr>
          <w:p>
            <w:r>
              <w:rPr>
                <w:rFonts w:ascii="Calibri" w:hAnsi="Calibri"/>
                <w:sz w:val="22"/>
              </w:rPr>
              <w:t>Worsening vs. 5.3x at Q1 end; deleveraging deferred to 2027+</w:t>
            </w:r>
          </w:p>
        </w:tc>
      </w:tr>
    </w:tbl>
    <w:p>
      <w:r>
        <w:rPr>
          <w:rFonts w:ascii="Calibri" w:hAnsi="Calibri"/>
          <w:i/>
          <w:color w:val="525866"/>
          <w:sz w:val="22"/>
        </w:rPr>
        <w:t>Source: NCLH Q1 2026 Earnings Release and Earnings Call Transcript (May 4, 2026); Visible Alpha Consensus Data.</w:t>
      </w:r>
    </w:p>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remarkably stable since the post-Q1 reset — Q2 EPS consensus moved only +$0.01 from the post-print baseline, and FY 2026 EPS moved +$0.04. </w:t>
      </w:r>
      <w:r>
        <w:rPr>
          <w:rFonts w:ascii="Calibri" w:hAnsi="Calibri"/>
          <w:b/>
          <w:color w:val="525866"/>
          <w:sz w:val="22"/>
        </w:rPr>
        <w:t>The street has largely accepted management's guidance range as the anchor</w:t>
      </w:r>
      <w:r>
        <w:rPr>
          <w:rFonts w:ascii="Calibri" w:hAnsi="Calibri"/>
          <w:color w:val="525866"/>
          <w:sz w:val="22"/>
        </w:rPr>
        <w:t>, with consensus sitting near the midpoint of all key metrics. There is no meaningful divergence between guidance and estimates, which means the risk/reward is binary on the Q2 print itself and, more importantly, on any Q3/FY guidance revision.</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 ~5 Days Post Q1 (May 11, 2026)</w:t>
            </w:r>
          </w:p>
        </w:tc>
        <w:tc>
          <w:tcPr>
            <w:tcW w:type="dxa" w:w="1080"/>
            <w:shd w:val="clear" w:color="auto" w:fill="3B4259"/>
          </w:tcPr>
          <w:p>
            <w:r>
              <w:rPr>
                <w:rFonts w:ascii="Calibri" w:hAnsi="Calibri"/>
                <w:b/>
                <w:color w:val="FFFFFF"/>
                <w:sz w:val="22"/>
              </w:rPr>
              <w:t>Current Consensus (Jul 29,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 vs. Guidance (%)</w:t>
            </w:r>
          </w:p>
        </w:tc>
      </w:tr>
      <w:tr>
        <w:tc>
          <w:tcPr>
            <w:tcW w:type="dxa" w:w="1080"/>
          </w:tcPr>
          <w:p>
            <w:r>
              <w:rPr>
                <w:rFonts w:ascii="Calibri" w:hAnsi="Calibri"/>
                <w:sz w:val="22"/>
              </w:rPr>
              <w:t>Adj. EPS — Q2 2026</w:t>
            </w:r>
          </w:p>
        </w:tc>
        <w:tc>
          <w:tcPr>
            <w:tcW w:type="dxa" w:w="1080"/>
          </w:tcPr>
          <w:p>
            <w:r>
              <w:rPr>
                <w:rFonts w:ascii="Calibri" w:hAnsi="Calibri"/>
                <w:sz w:val="22"/>
              </w:rPr>
              <w:t>$0.383</w:t>
            </w:r>
          </w:p>
        </w:tc>
        <w:tc>
          <w:tcPr>
            <w:tcW w:type="dxa" w:w="1080"/>
          </w:tcPr>
          <w:p>
            <w:r>
              <w:rPr>
                <w:rFonts w:ascii="Calibri" w:hAnsi="Calibri"/>
                <w:sz w:val="22"/>
              </w:rPr>
              <w:t>$0.390</w:t>
            </w:r>
          </w:p>
        </w:tc>
        <w:tc>
          <w:tcPr>
            <w:tcW w:type="dxa" w:w="1080"/>
          </w:tcPr>
          <w:p>
            <w:r>
              <w:rPr>
                <w:rFonts w:ascii="Calibri" w:hAnsi="Calibri"/>
                <w:b/>
                <w:color w:val="30A46C"/>
                <w:sz w:val="22"/>
              </w:rPr>
              <w:t>+1.8%</w:t>
            </w:r>
          </w:p>
        </w:tc>
        <w:tc>
          <w:tcPr>
            <w:tcW w:type="dxa" w:w="1080"/>
          </w:tcPr>
          <w:p>
            <w:r>
              <w:rPr>
                <w:rFonts w:ascii="Calibri" w:hAnsi="Calibri"/>
                <w:sz w:val="22"/>
              </w:rPr>
              <w:t>~$0.38</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+2.6% above guidance</w:t>
            </w:r>
          </w:p>
        </w:tc>
      </w:tr>
      <w:tr>
        <w:tc>
          <w:tcPr>
            <w:tcW w:type="dxa" w:w="1080"/>
          </w:tcPr>
          <w:p>
            <w:r>
              <w:rPr>
                <w:rFonts w:ascii="Calibri" w:hAnsi="Calibri"/>
                <w:sz w:val="22"/>
              </w:rPr>
              <w:t>Net Yield CC% — Q2 2026</w:t>
            </w:r>
          </w:p>
        </w:tc>
        <w:tc>
          <w:tcPr>
            <w:tcW w:type="dxa" w:w="1080"/>
          </w:tcPr>
          <w:p>
            <w:r>
              <w:rPr>
                <w:rFonts w:ascii="Calibri" w:hAnsi="Calibri"/>
                <w:sz w:val="22"/>
              </w:rPr>
              <w:t>-3.49%</w:t>
            </w:r>
          </w:p>
        </w:tc>
        <w:tc>
          <w:tcPr>
            <w:tcW w:type="dxa" w:w="1080"/>
          </w:tcPr>
          <w:p>
            <w:r>
              <w:rPr>
                <w:rFonts w:ascii="Calibri" w:hAnsi="Calibri"/>
                <w:sz w:val="22"/>
              </w:rPr>
              <w:t>-3.46%</w:t>
            </w:r>
          </w:p>
        </w:tc>
        <w:tc>
          <w:tcPr>
            <w:tcW w:type="dxa" w:w="1080"/>
          </w:tcPr>
          <w:p>
            <w:r>
              <w:rPr>
                <w:rFonts w:ascii="Calibri" w:hAnsi="Calibri"/>
                <w:sz w:val="22"/>
              </w:rPr>
              <w:t>+0.03pp</w:t>
            </w:r>
          </w:p>
        </w:tc>
        <w:tc>
          <w:tcPr>
            <w:tcW w:type="dxa" w:w="1080"/>
          </w:tcPr>
          <w:p>
            <w:r>
              <w:rPr>
                <w:rFonts w:ascii="Calibri" w:hAnsi="Calibri"/>
                <w:sz w:val="22"/>
              </w:rPr>
              <w:t>~-3.6%</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+0.1pp above guidance</w:t>
            </w:r>
          </w:p>
        </w:tc>
      </w:tr>
      <w:tr>
        <w:tc>
          <w:tcPr>
            <w:tcW w:type="dxa" w:w="1080"/>
          </w:tcPr>
          <w:p>
            <w:r>
              <w:rPr>
                <w:rFonts w:ascii="Calibri" w:hAnsi="Calibri"/>
                <w:sz w:val="22"/>
              </w:rPr>
              <w:t>Adj. EBITDA — Q2 2026</w:t>
            </w:r>
          </w:p>
        </w:tc>
        <w:tc>
          <w:tcPr>
            <w:tcW w:type="dxa" w:w="1080"/>
          </w:tcPr>
          <w:p>
            <w:r>
              <w:rPr>
                <w:rFonts w:ascii="Calibri" w:hAnsi="Calibri"/>
                <w:sz w:val="22"/>
              </w:rPr>
              <w:t>$633M</w:t>
            </w:r>
          </w:p>
        </w:tc>
        <w:tc>
          <w:tcPr>
            <w:tcW w:type="dxa" w:w="1080"/>
          </w:tcPr>
          <w:p>
            <w:r>
              <w:rPr>
                <w:rFonts w:ascii="Calibri" w:hAnsi="Calibri"/>
                <w:sz w:val="22"/>
              </w:rPr>
              <w:t>$636M</w:t>
            </w:r>
          </w:p>
        </w:tc>
        <w:tc>
          <w:tcPr>
            <w:tcW w:type="dxa" w:w="1080"/>
          </w:tcPr>
          <w:p>
            <w:r>
              <w:rPr>
                <w:rFonts w:ascii="Calibri" w:hAnsi="Calibri"/>
                <w:b/>
                <w:color w:val="30A46C"/>
                <w:sz w:val="22"/>
              </w:rPr>
              <w:t>+0.5%</w:t>
            </w:r>
          </w:p>
        </w:tc>
        <w:tc>
          <w:tcPr>
            <w:tcW w:type="dxa" w:w="1080"/>
          </w:tcPr>
          <w:p>
            <w:r>
              <w:rPr>
                <w:rFonts w:ascii="Calibri" w:hAnsi="Calibri"/>
                <w:sz w:val="22"/>
              </w:rPr>
              <w:t>~$632M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+0.6% above guidance</w:t>
            </w:r>
          </w:p>
        </w:tc>
      </w:tr>
      <w:tr>
        <w:tc>
          <w:tcPr>
            <w:tcW w:type="dxa" w:w="1080"/>
          </w:tcPr>
          <w:p>
            <w:r>
              <w:rPr>
                <w:rFonts w:ascii="Calibri" w:hAnsi="Calibri"/>
                <w:sz w:val="22"/>
              </w:rPr>
              <w:t>Adj. EPS — FY 2026</w:t>
            </w:r>
          </w:p>
        </w:tc>
        <w:tc>
          <w:tcPr>
            <w:tcW w:type="dxa" w:w="1080"/>
          </w:tcPr>
          <w:p>
            <w:r>
              <w:rPr>
                <w:rFonts w:ascii="Calibri" w:hAnsi="Calibri"/>
                <w:sz w:val="22"/>
              </w:rPr>
              <w:t>$1.624</w:t>
            </w:r>
          </w:p>
        </w:tc>
        <w:tc>
          <w:tcPr>
            <w:tcW w:type="dxa" w:w="1080"/>
          </w:tcPr>
          <w:p>
            <w:r>
              <w:rPr>
                <w:rFonts w:ascii="Calibri" w:hAnsi="Calibri"/>
                <w:sz w:val="22"/>
              </w:rPr>
              <w:t>$1.662</w:t>
            </w:r>
          </w:p>
        </w:tc>
        <w:tc>
          <w:tcPr>
            <w:tcW w:type="dxa" w:w="1080"/>
          </w:tcPr>
          <w:p>
            <w:r>
              <w:rPr>
                <w:rFonts w:ascii="Calibri" w:hAnsi="Calibri"/>
                <w:b/>
                <w:color w:val="30A46C"/>
                <w:sz w:val="22"/>
              </w:rPr>
              <w:t>+2.3%</w:t>
            </w:r>
          </w:p>
        </w:tc>
        <w:tc>
          <w:tcPr>
            <w:tcW w:type="dxa" w:w="1080"/>
          </w:tcPr>
          <w:p>
            <w:r>
              <w:rPr>
                <w:rFonts w:ascii="Calibri" w:hAnsi="Calibri"/>
                <w:sz w:val="22"/>
              </w:rPr>
              <w:t>$1.45–$1.79</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Near midpoint ($1.62 mid)</w:t>
            </w:r>
          </w:p>
        </w:tc>
      </w:tr>
      <w:tr>
        <w:tc>
          <w:tcPr>
            <w:tcW w:type="dxa" w:w="1080"/>
          </w:tcPr>
          <w:p>
            <w:r>
              <w:rPr>
                <w:rFonts w:ascii="Calibri" w:hAnsi="Calibri"/>
                <w:sz w:val="22"/>
              </w:rPr>
              <w:t>Net Yield CC% — FY 2026</w:t>
            </w:r>
          </w:p>
        </w:tc>
        <w:tc>
          <w:tcPr>
            <w:tcW w:type="dxa" w:w="1080"/>
          </w:tcPr>
          <w:p>
            <w:r>
              <w:rPr>
                <w:rFonts w:ascii="Calibri" w:hAnsi="Calibri"/>
                <w:sz w:val="22"/>
              </w:rPr>
              <w:t>-4.14%</w:t>
            </w:r>
          </w:p>
        </w:tc>
        <w:tc>
          <w:tcPr>
            <w:tcW w:type="dxa" w:w="1080"/>
          </w:tcPr>
          <w:p>
            <w:r>
              <w:rPr>
                <w:rFonts w:ascii="Calibri" w:hAnsi="Calibri"/>
                <w:sz w:val="22"/>
              </w:rPr>
              <w:t>-4.12%</w:t>
            </w:r>
          </w:p>
        </w:tc>
        <w:tc>
          <w:tcPr>
            <w:tcW w:type="dxa" w:w="1080"/>
          </w:tcPr>
          <w:p>
            <w:r>
              <w:rPr>
                <w:rFonts w:ascii="Calibri" w:hAnsi="Calibri"/>
                <w:sz w:val="22"/>
              </w:rPr>
              <w:t>+0.02pp</w:t>
            </w:r>
          </w:p>
        </w:tc>
        <w:tc>
          <w:tcPr>
            <w:tcW w:type="dxa" w:w="1080"/>
          </w:tcPr>
          <w:p>
            <w:r>
              <w:rPr>
                <w:rFonts w:ascii="Calibri" w:hAnsi="Calibri"/>
                <w:sz w:val="22"/>
              </w:rPr>
              <w:t>-3.0% to -5.0%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Near midpoint (-4.0% mid)</w:t>
            </w:r>
          </w:p>
        </w:tc>
      </w:tr>
      <w:tr>
        <w:tc>
          <w:tcPr>
            <w:tcW w:type="dxa" w:w="1080"/>
          </w:tcPr>
          <w:p>
            <w:r>
              <w:rPr>
                <w:rFonts w:ascii="Calibri" w:hAnsi="Calibri"/>
                <w:sz w:val="22"/>
              </w:rPr>
              <w:t>Adj. EBITDA — FY 2026</w:t>
            </w:r>
          </w:p>
        </w:tc>
        <w:tc>
          <w:tcPr>
            <w:tcW w:type="dxa" w:w="1080"/>
          </w:tcPr>
          <w:p>
            <w:r>
              <w:rPr>
                <w:rFonts w:ascii="Calibri" w:hAnsi="Calibri"/>
                <w:sz w:val="22"/>
              </w:rPr>
              <w:t>$2,554M</w:t>
            </w:r>
          </w:p>
        </w:tc>
        <w:tc>
          <w:tcPr>
            <w:tcW w:type="dxa" w:w="1080"/>
          </w:tcPr>
          <w:p>
            <w:r>
              <w:rPr>
                <w:rFonts w:ascii="Calibri" w:hAnsi="Calibri"/>
                <w:sz w:val="22"/>
              </w:rPr>
              <w:t>$2,573M</w:t>
            </w:r>
          </w:p>
        </w:tc>
        <w:tc>
          <w:tcPr>
            <w:tcW w:type="dxa" w:w="1080"/>
          </w:tcPr>
          <w:p>
            <w:r>
              <w:rPr>
                <w:rFonts w:ascii="Calibri" w:hAnsi="Calibri"/>
                <w:b/>
                <w:color w:val="30A46C"/>
                <w:sz w:val="22"/>
              </w:rPr>
              <w:t>+0.7%</w:t>
            </w:r>
          </w:p>
        </w:tc>
        <w:tc>
          <w:tcPr>
            <w:tcW w:type="dxa" w:w="1080"/>
          </w:tcPr>
          <w:p>
            <w:r>
              <w:rPr>
                <w:rFonts w:ascii="Calibri" w:hAnsi="Calibri"/>
                <w:sz w:val="22"/>
              </w:rPr>
              <w:t>$2.48B–$2.64B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Near midpoint ($2.56B mid)</w:t>
            </w:r>
          </w:p>
        </w:tc>
      </w:tr>
    </w:tbl>
    <w:p>
      <w:r>
        <w:rPr>
          <w:rFonts w:ascii="Calibri" w:hAnsi="Calibri"/>
          <w:i/>
          <w:color w:val="525866"/>
          <w:sz w:val="22"/>
        </w:rPr>
        <w:t>Source: Visible Alpha Consensus and Actuals Data (as-of date May 11, 2026 and July 29, 2026); NCLH Q1 2026 Earnings Release (May 4, 2026).</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 xml:space="preserve">NCLH has recovered +21% from its post-Q1 earnings low of ~$14.79 (May 19) to ~$20.75 today, but has </w:t>
      </w:r>
      <w:r>
        <w:rPr>
          <w:rFonts w:ascii="Calibri" w:hAnsi="Calibri"/>
          <w:b/>
          <w:color w:val="525866"/>
          <w:sz w:val="22"/>
        </w:rPr>
        <w:t>significantly underperformed both XLY (-5.2% since May 4) and SPY (+1.6% since May 4)</w:t>
      </w:r>
      <w:r>
        <w:rPr>
          <w:rFonts w:ascii="Calibri" w:hAnsi="Calibri"/>
          <w:color w:val="525866"/>
          <w:sz w:val="22"/>
        </w:rPr>
        <w:t xml:space="preserve"> over the same period. The 3-month EV/EBITDA multiple expansion of +16% reflects some sentiment recovery, but NCLH still trades at a ~28% discount to the travel peer group — driven by estimate cuts and leverage concerns, not multiple re-rating.</w:t>
      </w:r>
    </w:p>
    <w:p>
      <w:r>
        <w:rPr>
          <w:rFonts w:ascii="Calibri" w:hAnsi="Calibri"/>
          <w:b/>
          <w:color w:val="525866"/>
          <w:sz w:val="22"/>
        </w:rPr>
        <w:t>Indexed Performance Since Last Earnings (May 4, 2026 = 100):</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NCLH (Indexed)</w:t>
            </w:r>
          </w:p>
        </w:tc>
        <w:tc>
          <w:tcPr>
            <w:tcW w:type="dxa" w:w="2160"/>
            <w:shd w:val="clear" w:color="auto" w:fill="3B4259"/>
          </w:tcPr>
          <w:p>
            <w:r>
              <w:rPr>
                <w:rFonts w:ascii="Calibri" w:hAnsi="Calibri"/>
                <w:b/>
                <w:color w:val="FFFFFF"/>
                <w:sz w:val="22"/>
              </w:rPr>
              <w:t>XLY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May 4, 2026 (Last Earnings)</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May 19 (NCLH trough)</w:t>
            </w:r>
          </w:p>
        </w:tc>
        <w:tc>
          <w:tcPr>
            <w:tcW w:type="dxa" w:w="2160"/>
          </w:tcPr>
          <w:p>
            <w:r>
              <w:rPr>
                <w:rFonts w:ascii="Calibri" w:hAnsi="Calibri"/>
                <w:b/>
                <w:color w:val="E5484D"/>
                <w:sz w:val="22"/>
              </w:rPr>
              <w:t>86.0</w:t>
            </w:r>
          </w:p>
        </w:tc>
        <w:tc>
          <w:tcPr>
            <w:tcW w:type="dxa" w:w="2160"/>
          </w:tcPr>
          <w:p>
            <w:r>
              <w:rPr>
                <w:rFonts w:ascii="Calibri" w:hAnsi="Calibri"/>
                <w:sz w:val="22"/>
              </w:rPr>
              <w:t>97.8</w:t>
            </w:r>
          </w:p>
        </w:tc>
        <w:tc>
          <w:tcPr>
            <w:tcW w:type="dxa" w:w="2160"/>
          </w:tcPr>
          <w:p>
            <w:r>
              <w:rPr>
                <w:rFonts w:ascii="Calibri" w:hAnsi="Calibri"/>
                <w:sz w:val="22"/>
              </w:rPr>
              <w:t>102.7</w:t>
            </w:r>
          </w:p>
        </w:tc>
      </w:tr>
      <w:tr>
        <w:tc>
          <w:tcPr>
            <w:tcW w:type="dxa" w:w="2160"/>
          </w:tcPr>
          <w:p>
            <w:r>
              <w:rPr>
                <w:rFonts w:ascii="Calibri" w:hAnsi="Calibri"/>
                <w:sz w:val="22"/>
              </w:rPr>
              <w:t>May 27 (recovery begins)</w:t>
            </w:r>
          </w:p>
        </w:tc>
        <w:tc>
          <w:tcPr>
            <w:tcW w:type="dxa" w:w="2160"/>
          </w:tcPr>
          <w:p>
            <w:r>
              <w:rPr>
                <w:rFonts w:ascii="Calibri" w:hAnsi="Calibri"/>
                <w:sz w:val="22"/>
              </w:rPr>
              <w:t>105.5</w:t>
            </w:r>
          </w:p>
        </w:tc>
        <w:tc>
          <w:tcPr>
            <w:tcW w:type="dxa" w:w="2160"/>
          </w:tcPr>
          <w:p>
            <w:r>
              <w:rPr>
                <w:rFonts w:ascii="Calibri" w:hAnsi="Calibri"/>
                <w:sz w:val="22"/>
              </w:rPr>
              <w:t>103.3</w:t>
            </w:r>
          </w:p>
        </w:tc>
        <w:tc>
          <w:tcPr>
            <w:tcW w:type="dxa" w:w="2160"/>
          </w:tcPr>
          <w:p>
            <w:r>
              <w:rPr>
                <w:rFonts w:ascii="Calibri" w:hAnsi="Calibri"/>
                <w:sz w:val="22"/>
              </w:rPr>
              <w:t>104.5</w:t>
            </w:r>
          </w:p>
        </w:tc>
      </w:tr>
      <w:tr>
        <w:tc>
          <w:tcPr>
            <w:tcW w:type="dxa" w:w="2160"/>
          </w:tcPr>
          <w:p>
            <w:r>
              <w:rPr>
                <w:rFonts w:ascii="Calibri" w:hAnsi="Calibri"/>
                <w:sz w:val="22"/>
              </w:rPr>
              <w:t>Jun 29 (NCLH peak)</w:t>
            </w:r>
          </w:p>
        </w:tc>
        <w:tc>
          <w:tcPr>
            <w:tcW w:type="dxa" w:w="2160"/>
          </w:tcPr>
          <w:p>
            <w:r>
              <w:rPr>
                <w:rFonts w:ascii="Calibri" w:hAnsi="Calibri"/>
                <w:b/>
                <w:color w:val="30A46C"/>
                <w:sz w:val="22"/>
              </w:rPr>
              <w:t>127.4</w:t>
            </w:r>
          </w:p>
        </w:tc>
        <w:tc>
          <w:tcPr>
            <w:tcW w:type="dxa" w:w="2160"/>
          </w:tcPr>
          <w:p>
            <w:r>
              <w:rPr>
                <w:rFonts w:ascii="Calibri" w:hAnsi="Calibri"/>
                <w:sz w:val="22"/>
              </w:rPr>
              <w:t>99.5</w:t>
            </w:r>
          </w:p>
        </w:tc>
        <w:tc>
          <w:tcPr>
            <w:tcW w:type="dxa" w:w="2160"/>
          </w:tcPr>
          <w:p>
            <w:r>
              <w:rPr>
                <w:rFonts w:ascii="Calibri" w:hAnsi="Calibri"/>
                <w:sz w:val="22"/>
              </w:rPr>
              <w:t>103.2</w:t>
            </w:r>
          </w:p>
        </w:tc>
      </w:tr>
      <w:tr>
        <w:tc>
          <w:tcPr>
            <w:tcW w:type="dxa" w:w="2160"/>
          </w:tcPr>
          <w:p>
            <w:r>
              <w:rPr>
                <w:rFonts w:ascii="Calibri" w:hAnsi="Calibri"/>
                <w:sz w:val="22"/>
              </w:rPr>
              <w:t>Jul 28 (RCL earnings day)</w:t>
            </w:r>
          </w:p>
        </w:tc>
        <w:tc>
          <w:tcPr>
            <w:tcW w:type="dxa" w:w="2160"/>
          </w:tcPr>
          <w:p>
            <w:r>
              <w:rPr>
                <w:rFonts w:ascii="Calibri" w:hAnsi="Calibri"/>
                <w:sz w:val="22"/>
              </w:rPr>
              <w:t>123.4</w:t>
            </w:r>
          </w:p>
        </w:tc>
        <w:tc>
          <w:tcPr>
            <w:tcW w:type="dxa" w:w="2160"/>
          </w:tcPr>
          <w:p>
            <w:r>
              <w:rPr>
                <w:rFonts w:ascii="Calibri" w:hAnsi="Calibri"/>
                <w:sz w:val="22"/>
              </w:rPr>
              <w:t>95.5</w:t>
            </w:r>
          </w:p>
        </w:tc>
        <w:tc>
          <w:tcPr>
            <w:tcW w:type="dxa" w:w="2160"/>
          </w:tcPr>
          <w:p>
            <w:r>
              <w:rPr>
                <w:rFonts w:ascii="Calibri" w:hAnsi="Calibri"/>
                <w:sz w:val="22"/>
              </w:rPr>
              <w:t>103.2</w:t>
            </w:r>
          </w:p>
        </w:tc>
      </w:tr>
      <w:tr>
        <w:tc>
          <w:tcPr>
            <w:tcW w:type="dxa" w:w="2160"/>
          </w:tcPr>
          <w:p>
            <w:r>
              <w:rPr>
                <w:rFonts w:ascii="Calibri" w:hAnsi="Calibri"/>
                <w:sz w:val="22"/>
              </w:rPr>
              <w:t>Jul 29, 2026 (Today)</w:t>
            </w:r>
          </w:p>
        </w:tc>
        <w:tc>
          <w:tcPr>
            <w:tcW w:type="dxa" w:w="2160"/>
          </w:tcPr>
          <w:p>
            <w:r>
              <w:rPr>
                <w:rFonts w:ascii="Calibri" w:hAnsi="Calibri"/>
                <w:sz w:val="22"/>
              </w:rPr>
              <w:t>120.6</w:t>
            </w:r>
          </w:p>
        </w:tc>
        <w:tc>
          <w:tcPr>
            <w:tcW w:type="dxa" w:w="2160"/>
          </w:tcPr>
          <w:p>
            <w:r>
              <w:rPr>
                <w:rFonts w:ascii="Calibri" w:hAnsi="Calibri"/>
                <w:sz w:val="22"/>
              </w:rPr>
              <w:t>94.8</w:t>
            </w:r>
          </w:p>
        </w:tc>
        <w:tc>
          <w:tcPr>
            <w:tcW w:type="dxa" w:w="2160"/>
          </w:tcPr>
          <w:p>
            <w:r>
              <w:rPr>
                <w:rFonts w:ascii="Calibri" w:hAnsi="Calibri"/>
                <w:sz w:val="22"/>
              </w:rPr>
              <w:t>101.6</w:t>
            </w:r>
          </w:p>
        </w:tc>
      </w:tr>
    </w:tbl>
    <w:p>
      <w:r>
        <w:rPr>
          <w:rFonts w:ascii="Calibri" w:hAnsi="Calibri"/>
          <w:b/>
          <w:color w:val="525866"/>
          <w:sz w:val="22"/>
        </w:rPr>
        <w:t>NCLH: +20.6% | XLY: -5.2% | SPY: +1.6% since May 4, 2026.</w:t>
      </w:r>
    </w:p>
    <w:p>
      <w:r>
        <w:rPr>
          <w:rFonts w:ascii="Calibri" w:hAnsi="Calibri"/>
          <w:i/>
          <w:color w:val="525866"/>
          <w:sz w:val="22"/>
        </w:rPr>
        <w:t>Sector ETF: XLY (Consumer Discretionary Select Sector SPDR) used as the sector benchmark, appropriate for NCLH's consumer leisure/travel sub-sector classification.</w:t>
      </w:r>
    </w:p>
    <w:p>
      <w:r>
        <w:rPr>
          <w:rFonts w:ascii="Calibri" w:hAnsi="Calibri"/>
          <w:b/>
          <w:color w:val="525866"/>
          <w:sz w:val="22"/>
        </w:rPr>
        <w:t xml:space="preserve">Valuation Context: </w:t>
      </w:r>
      <w:r>
        <w:rPr>
          <w:rFonts w:ascii="Calibri" w:hAnsi="Calibri"/>
          <w:color w:val="525866"/>
          <w:sz w:val="22"/>
        </w:rPr>
        <w:t>NCLH currently trades at 9.0x NTM EV/EBITDA, a 28% discount to the travel peer group aggregate (~12.5x). Over the past 3 months, NCLH's multiple expanded +16%, driven by sentiment recovery from the post-Q1 lows, but the 1-year multiple change is only +6.8%, reflecting the net negative impact of the guidance cut. RCL trades at 13.3x NTM EV/EBITDA, a 48% premium to NCLH — the widest gap in recent history.</w:t>
      </w:r>
    </w:p>
    <w:p>
      <w:r>
        <w:rPr>
          <w:rFonts w:ascii="Calibri" w:hAnsi="Calibri"/>
          <w:i/>
          <w:color w:val="525866"/>
          <w:sz w:val="22"/>
        </w:rPr>
        <w:t>Source: Stock Price Data (Yahoo Finance); Peer Valuation Data.</w:t>
      </w:r>
    </w:p>
    <w:p>
      <w:r>
        <w:br w:type="page"/>
      </w:r>
    </w:p>
    <w:p>
      <w:pPr>
        <w:pStyle w:val="Heading1"/>
        <w:pBdr>
          <w:bottom w:val="single" w:sz="4" w:space="1" w:color="FB9120"/>
        </w:pBdr>
      </w:pPr>
      <w:r>
        <w:rPr>
          <w:rFonts w:ascii="Calibri" w:hAnsi="Calibri"/>
          <w:b/>
          <w:color w:val="3B4259"/>
          <w:sz w:val="40"/>
        </w:rPr>
        <w:t>6. Peer Current-Quarter Commentary: Read-Through for NCLH</w:t>
      </w:r>
    </w:p>
    <w:p>
      <w:r>
        <w:rPr>
          <w:rFonts w:ascii="Calibri" w:hAnsi="Calibri"/>
          <w:b/>
          <w:color w:val="525866"/>
          <w:sz w:val="22"/>
        </w:rPr>
        <w:t xml:space="preserve">Key Takeaway: </w:t>
      </w:r>
      <w:r>
        <w:rPr>
          <w:rFonts w:ascii="Calibri" w:hAnsi="Calibri"/>
          <w:color w:val="525866"/>
          <w:sz w:val="22"/>
        </w:rPr>
        <w:t xml:space="preserve">Both RCL (reported July 28) and CCL (reported June 23) provided forward-looking commentary on Q3 2026 and beyond that is directly relevant to NCLH's Q2 print and Q3 outlook. </w:t>
      </w:r>
      <w:r>
        <w:rPr>
          <w:rFonts w:ascii="Calibri" w:hAnsi="Calibri"/>
          <w:b/>
          <w:color w:val="525866"/>
          <w:sz w:val="22"/>
        </w:rPr>
        <w:t>The sector read-through is cautiously constructive</w:t>
      </w:r>
      <w:r>
        <w:rPr>
          <w:rFonts w:ascii="Calibri" w:hAnsi="Calibri"/>
          <w:color w:val="525866"/>
          <w:sz w:val="22"/>
        </w:rPr>
        <w:t>: underlying demand is healthy, 2027 bookings are at record prices, and geopolitical headwinds on European sailings appear transitory — but both peers flagged Q3 yield pressure from Middle East/Mediterranean exposure, which is NCLH's most acute near-term risk given ~38% European deployment in Q3.</w:t>
      </w:r>
    </w:p>
    <w:p>
      <w:pPr>
        <w:pStyle w:val="Heading2"/>
      </w:pPr>
      <w:r>
        <w:rPr>
          <w:rFonts w:ascii="Calibri" w:hAnsi="Calibri"/>
          <w:b/>
          <w:color w:val="3B4259"/>
          <w:sz w:val="28"/>
        </w:rPr>
        <w:t>Royal Caribbean (RCL) — Reported July 28, 2026 (Q2 2026)</w:t>
      </w:r>
    </w:p>
    <w:p>
      <w:r>
        <w:rPr>
          <w:rFonts w:ascii="Calibri" w:hAnsi="Calibri"/>
          <w:i/>
          <w:color w:val="525866"/>
          <w:sz w:val="22"/>
        </w:rPr>
        <w:t>RCL Q2 2026 result: EPS $4.21 vs. $3.98 consensus (beat); raised FY 2026 EPS guidance to $17.73–$17.87 from $17.10–$17.50. Revenue +6% YoY to $4.83B.</w:t>
      </w:r>
    </w:p>
    <w:p>
      <w:pPr>
        <w:pStyle w:val="Heading3"/>
      </w:pPr>
      <w:r>
        <w:rPr>
          <w:rFonts w:ascii="Calibri" w:hAnsi="Calibri"/>
          <w:b/>
          <w:color w:val="3B4259"/>
          <w:sz w:val="24"/>
        </w:rPr>
        <w:t>Forward-Looking Commentary Relevant to NCLH (Q3 2026 and Beyond)</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RCL Commentary (Q3 2026+ Outlook)</w:t>
            </w:r>
          </w:p>
        </w:tc>
        <w:tc>
          <w:tcPr>
            <w:tcW w:type="dxa" w:w="2160"/>
            <w:shd w:val="clear" w:color="auto" w:fill="3B4259"/>
          </w:tcPr>
          <w:p>
            <w:r>
              <w:rPr>
                <w:rFonts w:ascii="Calibri" w:hAnsi="Calibri"/>
                <w:b/>
                <w:color w:val="FFFFFF"/>
                <w:sz w:val="22"/>
              </w:rPr>
              <w:t>Read-Through for NCLH</w:t>
            </w:r>
          </w:p>
        </w:tc>
        <w:tc>
          <w:tcPr>
            <w:tcW w:type="dxa" w:w="2160"/>
            <w:shd w:val="clear" w:color="auto" w:fill="3B4259"/>
          </w:tcPr>
          <w:p>
            <w:r>
              <w:rPr>
                <w:rFonts w:ascii="Calibri" w:hAnsi="Calibri"/>
                <w:b/>
                <w:color w:val="FFFFFF"/>
                <w:sz w:val="22"/>
              </w:rPr>
              <w:t>Sector vs. Company-Specific</w:t>
            </w:r>
          </w:p>
        </w:tc>
      </w:tr>
      <w:tr>
        <w:tc>
          <w:tcPr>
            <w:tcW w:type="dxa" w:w="2160"/>
          </w:tcPr>
          <w:p>
            <w:r>
              <w:rPr>
                <w:rFonts w:ascii="Calibri" w:hAnsi="Calibri"/>
                <w:sz w:val="22"/>
              </w:rPr>
              <w:t>Q3 Yield Outlook</w:t>
            </w:r>
          </w:p>
        </w:tc>
        <w:tc>
          <w:tcPr>
            <w:tcW w:type="dxa" w:w="2160"/>
          </w:tcPr>
          <w:p>
            <w:r>
              <w:rPr>
                <w:rFonts w:ascii="Calibri" w:hAnsi="Calibri"/>
                <w:sz w:val="22"/>
              </w:rPr>
              <w:t>Net yields expected to be "roughly flat" in Q3 2026; Europe (28% of Q3 capacity) creating yield headwinds from prolonged Middle East conflict. Yield growth expected to "re-accelerate" in Q4 driven by favorable comps and deployment mix.</w:t>
            </w:r>
          </w:p>
        </w:tc>
        <w:tc>
          <w:tcPr>
            <w:tcW w:type="dxa" w:w="2160"/>
          </w:tcPr>
          <w:p>
            <w:r>
              <w:rPr>
                <w:rFonts w:ascii="Calibri" w:hAnsi="Calibri"/>
                <w:b/>
                <w:color w:val="E5484D"/>
                <w:sz w:val="22"/>
              </w:rPr>
              <w:t>Negative read-through: RCL with only 28% European Q3 exposure is seeing flat yields; NCLH has ~38% European Q3 exposure and guided to potentially high-single-digit negative yields. RCL's experience validates the severity of the European headwind.</w:t>
            </w:r>
          </w:p>
        </w:tc>
        <w:tc>
          <w:tcPr>
            <w:tcW w:type="dxa" w:w="2160"/>
          </w:tcPr>
          <w:p>
            <w:r>
              <w:rPr>
                <w:rFonts w:ascii="Calibri" w:hAnsi="Calibri"/>
                <w:sz w:val="22"/>
              </w:rPr>
              <w:t>Sector: European yield pressure is industry-wide. Company-specific: NCLH's higher European concentration amplifies the impact materially vs. RCL.</w:t>
            </w:r>
          </w:p>
        </w:tc>
      </w:tr>
      <w:tr>
        <w:tc>
          <w:tcPr>
            <w:tcW w:type="dxa" w:w="2160"/>
          </w:tcPr>
          <w:p>
            <w:r>
              <w:rPr>
                <w:rFonts w:ascii="Calibri" w:hAnsi="Calibri"/>
                <w:sz w:val="22"/>
              </w:rPr>
              <w:t>Geopolitical Impact — Transitory Signal</w:t>
            </w:r>
          </w:p>
        </w:tc>
        <w:tc>
          <w:tcPr>
            <w:tcW w:type="dxa" w:w="2160"/>
          </w:tcPr>
          <w:p>
            <w:r>
              <w:rPr>
                <w:rFonts w:ascii="Calibri" w:hAnsi="Calibri"/>
                <w:sz w:val="22"/>
              </w:rPr>
              <w:t>"Geopolitical events have had little to no impact on guests thinking 6 months down the road." Booking trends in June/July showed "very strong demand environment" after a dip in May. Conflict impact described as "modest and near-term."</w:t>
            </w:r>
          </w:p>
        </w:tc>
        <w:tc>
          <w:tcPr>
            <w:tcW w:type="dxa" w:w="2160"/>
          </w:tcPr>
          <w:p>
            <w:r>
              <w:rPr>
                <w:rFonts w:ascii="Calibri" w:hAnsi="Calibri"/>
                <w:b/>
                <w:color w:val="30A46C"/>
                <w:sz w:val="22"/>
              </w:rPr>
              <w:t>Positive read-through: If geopolitical headwinds are truly transitory, NCLH's Q4 and 2027 recovery thesis is supported. The May booking dip followed by June/July recovery is encouraging for NCLH's close-in demand.</w:t>
            </w:r>
          </w:p>
        </w:tc>
        <w:tc>
          <w:tcPr>
            <w:tcW w:type="dxa" w:w="2160"/>
          </w:tcPr>
          <w:p>
            <w:r>
              <w:rPr>
                <w:rFonts w:ascii="Calibri" w:hAnsi="Calibri"/>
                <w:sz w:val="22"/>
              </w:rPr>
              <w:t>Sector: Transitory nature of geopolitical impact is a sector-wide positive. Company-specific: NCLH's deeper structural issues (booking curve deficit, revenue management) are not resolved by geopolitical normalization alone.</w:t>
            </w:r>
          </w:p>
        </w:tc>
      </w:tr>
      <w:tr>
        <w:tc>
          <w:tcPr>
            <w:tcW w:type="dxa" w:w="2160"/>
          </w:tcPr>
          <w:p>
            <w:r>
              <w:rPr>
                <w:rFonts w:ascii="Calibri" w:hAnsi="Calibri"/>
                <w:sz w:val="22"/>
              </w:rPr>
              <w:t>2027 Bookings &amp; Pricing</w:t>
            </w:r>
          </w:p>
        </w:tc>
        <w:tc>
          <w:tcPr>
            <w:tcW w:type="dxa" w:w="2160"/>
          </w:tcPr>
          <w:p>
            <w:r>
              <w:rPr>
                <w:rFonts w:ascii="Calibri" w:hAnsi="Calibri"/>
                <w:sz w:val="22"/>
              </w:rPr>
              <w:t>"Book position for 2027 is at historical highs for price and occupancy." Booking volumes and pricing for 2027 "pacing ahead of historical levels, including for itineraries where demand was impacted by geopolitical events this year." European 2027 bookings up "mid-teens percentages at higher prices."</w:t>
            </w:r>
          </w:p>
        </w:tc>
        <w:tc>
          <w:tcPr>
            <w:tcW w:type="dxa" w:w="2160"/>
          </w:tcPr>
          <w:p>
            <w:r>
              <w:rPr>
                <w:rFonts w:ascii="Calibri" w:hAnsi="Calibri"/>
                <w:b/>
                <w:color w:val="30A46C"/>
                <w:sz w:val="22"/>
              </w:rPr>
              <w:t>Positive read-through: Strong 2027 industry demand supports NCLH's recovery narrative. However, NCLH entered 2026 behind its booking curve, so the question is whether it can rebuild its 2027 book position from a weaker starting point.</w:t>
            </w:r>
          </w:p>
        </w:tc>
        <w:tc>
          <w:tcPr>
            <w:tcW w:type="dxa" w:w="2160"/>
          </w:tcPr>
          <w:p>
            <w:r>
              <w:rPr>
                <w:rFonts w:ascii="Calibri" w:hAnsi="Calibri"/>
                <w:sz w:val="22"/>
              </w:rPr>
              <w:t>Sector: 2027 demand strength is a sector-wide positive. Company-specific: RCL's record book position reflects its differentiated product (Icon class, Perfect Day); NCLH's 2027 position depends on Great Stirrup Cay ramp and marketing rebuild.</w:t>
            </w:r>
          </w:p>
        </w:tc>
      </w:tr>
      <w:tr>
        <w:tc>
          <w:tcPr>
            <w:tcW w:type="dxa" w:w="2160"/>
          </w:tcPr>
          <w:p>
            <w:r>
              <w:rPr>
                <w:rFonts w:ascii="Calibri" w:hAnsi="Calibri"/>
                <w:sz w:val="22"/>
              </w:rPr>
              <w:t>Onboard Spend</w:t>
            </w:r>
          </w:p>
        </w:tc>
        <w:tc>
          <w:tcPr>
            <w:tcW w:type="dxa" w:w="2160"/>
          </w:tcPr>
          <w:p>
            <w:r>
              <w:rPr>
                <w:rFonts w:ascii="Calibri" w:hAnsi="Calibri"/>
                <w:sz w:val="22"/>
              </w:rPr>
              <w:t>Onboard spending and pre-cruise purchases "continue to exceed prior years." Over half of onboard revenue purchased before embarkation. Beverage and shore excursion spend elevated. Described as "good indicator of health of the consumer."</w:t>
            </w:r>
          </w:p>
        </w:tc>
        <w:tc>
          <w:tcPr>
            <w:tcW w:type="dxa" w:w="2160"/>
          </w:tcPr>
          <w:p>
            <w:r>
              <w:rPr>
                <w:rFonts w:ascii="Calibri" w:hAnsi="Calibri"/>
                <w:b/>
                <w:color w:val="30A46C"/>
                <w:sz w:val="22"/>
              </w:rPr>
              <w:t>Positive read-through: Healthy onboard spend is a sector-wide tailwind. NCLH management noted on Q1 call that onboard spend is healthy once guests are on vessels — RCL's data corroborates this. Supports NCLH's net yield floor.</w:t>
            </w:r>
          </w:p>
        </w:tc>
        <w:tc>
          <w:tcPr>
            <w:tcW w:type="dxa" w:w="2160"/>
          </w:tcPr>
          <w:p>
            <w:r>
              <w:rPr>
                <w:rFonts w:ascii="Calibri" w:hAnsi="Calibri"/>
                <w:sz w:val="22"/>
              </w:rPr>
              <w:t>Sector: Elevated onboard spend is industry-wide. Company-specific: NCLH's onboard monetization at Great Stirrup Cay (Great Tides opening late summer) is a company-specific incremental driver not shared by RCL.</w:t>
            </w:r>
          </w:p>
        </w:tc>
      </w:tr>
      <w:tr>
        <w:tc>
          <w:tcPr>
            <w:tcW w:type="dxa" w:w="2160"/>
          </w:tcPr>
          <w:p>
            <w:r>
              <w:rPr>
                <w:rFonts w:ascii="Calibri" w:hAnsi="Calibri"/>
                <w:sz w:val="22"/>
              </w:rPr>
              <w:t>Close-In Booking Behavior</w:t>
            </w:r>
          </w:p>
        </w:tc>
        <w:tc>
          <w:tcPr>
            <w:tcW w:type="dxa" w:w="2160"/>
          </w:tcPr>
          <w:p>
            <w:r>
              <w:rPr>
                <w:rFonts w:ascii="Calibri" w:hAnsi="Calibri"/>
                <w:sz w:val="22"/>
              </w:rPr>
              <w:t>"Strong close-in booking volumes" as consumers book closer to travel dates for "flexibility and ease." RCL able to "increase pricing" for close-in demand — a shift from historical patterns.</w:t>
            </w:r>
          </w:p>
        </w:tc>
        <w:tc>
          <w:tcPr>
            <w:tcW w:type="dxa" w:w="2160"/>
          </w:tcPr>
          <w:p>
            <w:r>
              <w:rPr>
                <w:rFonts w:ascii="Calibri" w:hAnsi="Calibri"/>
                <w:b/>
                <w:color w:val="002FA7"/>
                <w:sz w:val="22"/>
              </w:rPr>
              <w:t>Mixed read-through: Close-in strength is positive for the industry, but NCLH's revenue management system is still being calibrated. RCL's ability to price up close-in demand requires sophisticated yield management tools that NCLH is still building.</w:t>
            </w:r>
          </w:p>
        </w:tc>
        <w:tc>
          <w:tcPr>
            <w:tcW w:type="dxa" w:w="2160"/>
          </w:tcPr>
          <w:p>
            <w:r>
              <w:rPr>
                <w:rFonts w:ascii="Calibri" w:hAnsi="Calibri"/>
                <w:sz w:val="22"/>
              </w:rPr>
              <w:t>Sector: Close-in demand shift is industry-wide. Company-specific: NCLH's ability to capitalize on close-in pricing is constrained by its revenue management rebuild — a key execution risk not faced by RCL.</w:t>
            </w:r>
          </w:p>
        </w:tc>
      </w:tr>
      <w:tr>
        <w:tc>
          <w:tcPr>
            <w:tcW w:type="dxa" w:w="2160"/>
          </w:tcPr>
          <w:p>
            <w:r>
              <w:rPr>
                <w:rFonts w:ascii="Calibri" w:hAnsi="Calibri"/>
                <w:sz w:val="22"/>
              </w:rPr>
              <w:t>Cost Management</w:t>
            </w:r>
          </w:p>
        </w:tc>
        <w:tc>
          <w:tcPr>
            <w:tcW w:type="dxa" w:w="2160"/>
          </w:tcPr>
          <w:p>
            <w:r>
              <w:rPr>
                <w:rFonts w:ascii="Calibri" w:hAnsi="Calibri"/>
                <w:sz w:val="22"/>
              </w:rPr>
              <w:t>Full-year net cruise costs ex-fuel expected to be "approximately flat" — consistent with prior guidance. Q3 costs expected to decrease 1.1%–1.6% CC. Fuel hedged at 58% for remainder of 2026 at "significantly below market rates."</w:t>
            </w:r>
          </w:p>
        </w:tc>
        <w:tc>
          <w:tcPr>
            <w:tcW w:type="dxa" w:w="2160"/>
          </w:tcPr>
          <w:p>
            <w:r>
              <w:rPr>
                <w:rFonts w:ascii="Calibri" w:hAnsi="Calibri"/>
                <w:b/>
                <w:color w:val="30A46C"/>
                <w:sz w:val="22"/>
              </w:rPr>
              <w:t>Positive read-through: Industry-wide cost discipline is achievable. NCLH's flat NCC ex-Fuel guidance for FY 2026 is consistent with RCL's experience. Fuel hedging at below-market rates is a sector tailwind if spot prices remain elevated.</w:t>
            </w:r>
          </w:p>
        </w:tc>
        <w:tc>
          <w:tcPr>
            <w:tcW w:type="dxa" w:w="2160"/>
          </w:tcPr>
          <w:p>
            <w:r>
              <w:rPr>
                <w:rFonts w:ascii="Calibri" w:hAnsi="Calibri"/>
                <w:sz w:val="22"/>
              </w:rPr>
              <w:t>Sector: Cost discipline and fuel hedging benefits are sector-wide. Company-specific: NCLH's $125M annualized SG&amp;A savings are a company-specific restructuring action not replicated at RCL.</w:t>
            </w:r>
          </w:p>
        </w:tc>
      </w:tr>
    </w:tbl>
    <w:p>
      <w:r>
        <w:rPr>
          <w:rFonts w:ascii="Calibri" w:hAnsi="Calibri"/>
          <w:i/>
          <w:color w:val="525866"/>
          <w:sz w:val="22"/>
        </w:rPr>
        <w:t>Source: RCL Q2 2026 Earnings Call Transcript (July 28, 2026); RCL Q2 2026 Earnings Release (July 28, 2026).</w:t>
      </w:r>
    </w:p>
    <w:p>
      <w:pPr>
        <w:pStyle w:val="Heading2"/>
      </w:pPr>
      <w:r>
        <w:rPr>
          <w:rFonts w:ascii="Calibri" w:hAnsi="Calibri"/>
          <w:b/>
          <w:color w:val="3B4259"/>
          <w:sz w:val="28"/>
        </w:rPr>
        <w:t>Carnival Corporation (CCL) — Reported June 23, 2026 (Q2 FY2026 / Fiscal Q2)</w:t>
      </w:r>
    </w:p>
    <w:p>
      <w:r>
        <w:rPr>
          <w:rFonts w:ascii="Calibri" w:hAnsi="Calibri"/>
          <w:i/>
          <w:color w:val="525866"/>
          <w:sz w:val="22"/>
        </w:rPr>
        <w:t>Note: CCL's fiscal Q2 2026 ended May 31, 2026. Commentary below pertains to CCL's Q3 2026 and full-year 2026 outlook — i.e., the period that overlaps with NCLH's current reporting quarter (Q2 2026, ended June 30) and forward guidance.</w:t>
      </w:r>
    </w:p>
    <w:p>
      <w:pPr>
        <w:pStyle w:val="Heading3"/>
      </w:pPr>
      <w:r>
        <w:rPr>
          <w:rFonts w:ascii="Calibri" w:hAnsi="Calibri"/>
          <w:b/>
          <w:color w:val="3B4259"/>
          <w:sz w:val="24"/>
        </w:rPr>
        <w:t>Forward-Looking Commentary Relevant to NCLH (Q3 2026 and Beyond)</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CCL Commentary (Q3 2026+ Outlook)</w:t>
            </w:r>
          </w:p>
        </w:tc>
        <w:tc>
          <w:tcPr>
            <w:tcW w:type="dxa" w:w="2160"/>
            <w:shd w:val="clear" w:color="auto" w:fill="3B4259"/>
          </w:tcPr>
          <w:p>
            <w:r>
              <w:rPr>
                <w:rFonts w:ascii="Calibri" w:hAnsi="Calibri"/>
                <w:b/>
                <w:color w:val="FFFFFF"/>
                <w:sz w:val="22"/>
              </w:rPr>
              <w:t>Read-Through for NCLH</w:t>
            </w:r>
          </w:p>
        </w:tc>
        <w:tc>
          <w:tcPr>
            <w:tcW w:type="dxa" w:w="2160"/>
            <w:shd w:val="clear" w:color="auto" w:fill="3B4259"/>
          </w:tcPr>
          <w:p>
            <w:r>
              <w:rPr>
                <w:rFonts w:ascii="Calibri" w:hAnsi="Calibri"/>
                <w:b/>
                <w:color w:val="FFFFFF"/>
                <w:sz w:val="22"/>
              </w:rPr>
              <w:t>Sector vs. Company-Specific</w:t>
            </w:r>
          </w:p>
        </w:tc>
      </w:tr>
      <w:tr>
        <w:tc>
          <w:tcPr>
            <w:tcW w:type="dxa" w:w="2160"/>
          </w:tcPr>
          <w:p>
            <w:r>
              <w:rPr>
                <w:rFonts w:ascii="Calibri" w:hAnsi="Calibri"/>
                <w:sz w:val="22"/>
              </w:rPr>
              <w:t>Q3 Yield &amp; Booking Position</w:t>
            </w:r>
          </w:p>
        </w:tc>
        <w:tc>
          <w:tcPr>
            <w:tcW w:type="dxa" w:w="2160"/>
          </w:tcPr>
          <w:p>
            <w:r>
              <w:rPr>
                <w:rFonts w:ascii="Calibri" w:hAnsi="Calibri"/>
                <w:sz w:val="22"/>
              </w:rPr>
              <w:t>Booked position "ahead of last year" entering Q3 at "record prices in each of the remaining quarters." 93% of business on books with less inventory remaining than last year. Normalized yield growth assumption of ~2.25% for the year, revised down ~1pp from prior guidance due to Middle East conflict.</w:t>
            </w:r>
          </w:p>
        </w:tc>
        <w:tc>
          <w:tcPr>
            <w:tcW w:type="dxa" w:w="2160"/>
          </w:tcPr>
          <w:p>
            <w:r>
              <w:rPr>
                <w:rFonts w:ascii="Calibri" w:hAnsi="Calibri"/>
                <w:b/>
                <w:color w:val="E5484D"/>
                <w:sz w:val="22"/>
              </w:rPr>
              <w:t>Negative read-through: CCL, which entered Q3 ahead of its booking curve at record prices, still had to cut yield guidance by ~1pp. NCLH entered Q2/Q3 behind its booking curve — the relative headwind is materially worse. CCL's experience sets a ceiling on how good the industry backdrop can be.</w:t>
            </w:r>
          </w:p>
        </w:tc>
        <w:tc>
          <w:tcPr>
            <w:tcW w:type="dxa" w:w="2160"/>
          </w:tcPr>
          <w:p>
            <w:r>
              <w:rPr>
                <w:rFonts w:ascii="Calibri" w:hAnsi="Calibri"/>
                <w:sz w:val="22"/>
              </w:rPr>
              <w:t>Sector: Yield moderation from geopolitical events is sector-wide. Company-specific: CCL's strong book position is a company-specific advantage; NCLH's booking curve deficit is a company-specific disadvantage.</w:t>
            </w:r>
          </w:p>
        </w:tc>
      </w:tr>
      <w:tr>
        <w:tc>
          <w:tcPr>
            <w:tcW w:type="dxa" w:w="2160"/>
          </w:tcPr>
          <w:p>
            <w:r>
              <w:rPr>
                <w:rFonts w:ascii="Calibri" w:hAnsi="Calibri"/>
                <w:sz w:val="22"/>
              </w:rPr>
              <w:t>European Exposure &amp; Geopolitical Impact</w:t>
            </w:r>
          </w:p>
        </w:tc>
        <w:tc>
          <w:tcPr>
            <w:tcW w:type="dxa" w:w="2160"/>
          </w:tcPr>
          <w:p>
            <w:r>
              <w:rPr>
                <w:rFonts w:ascii="Calibri" w:hAnsi="Calibri"/>
                <w:sz w:val="22"/>
              </w:rPr>
              <w:t>Yield moderation "concentrated on European deployments, particularly in the Med region." Impact "further exacerbated by elevated airfares and reduced international flight capacity for North American guests." However, "booking trends in recent weeks suggest we are already beginning to see a reversal of these headwinds" — described as "transitory."</w:t>
            </w:r>
          </w:p>
        </w:tc>
        <w:tc>
          <w:tcPr>
            <w:tcW w:type="dxa" w:w="2160"/>
          </w:tcPr>
          <w:p>
            <w:r>
              <w:rPr>
                <w:rFonts w:ascii="Calibri" w:hAnsi="Calibri"/>
                <w:b/>
                <w:color w:val="002FA7"/>
                <w:sz w:val="22"/>
              </w:rPr>
              <w:t>Mixed read-through: The transitory characterization is positive for NCLH's Q4 and 2027 recovery. But the specific mention of elevated airfares and reduced flight capacity as compounding factors is directly relevant to NCLH, which cited higher crew airfare as a cost headwind (~1% NCC ex-Fuel impact).</w:t>
            </w:r>
          </w:p>
        </w:tc>
        <w:tc>
          <w:tcPr>
            <w:tcW w:type="dxa" w:w="2160"/>
          </w:tcPr>
          <w:p>
            <w:r>
              <w:rPr>
                <w:rFonts w:ascii="Calibri" w:hAnsi="Calibri"/>
                <w:sz w:val="22"/>
              </w:rPr>
              <w:t>Sector: European yield pressure and airfare headwinds are sector-wide. Company-specific: CCL's "reversal" signal in recent weeks is encouraging but may not yet be reflected in NCLH's Q2 close-in bookings given its deeper booking curve deficit.</w:t>
            </w:r>
          </w:p>
        </w:tc>
      </w:tr>
      <w:tr>
        <w:tc>
          <w:tcPr>
            <w:tcW w:type="dxa" w:w="2160"/>
          </w:tcPr>
          <w:p>
            <w:r>
              <w:rPr>
                <w:rFonts w:ascii="Calibri" w:hAnsi="Calibri"/>
                <w:sz w:val="22"/>
              </w:rPr>
              <w:t>Occupancy Management</w:t>
            </w:r>
          </w:p>
        </w:tc>
        <w:tc>
          <w:tcPr>
            <w:tcW w:type="dxa" w:w="2160"/>
          </w:tcPr>
          <w:p>
            <w:r>
              <w:rPr>
                <w:rFonts w:ascii="Calibri" w:hAnsi="Calibri"/>
                <w:sz w:val="22"/>
              </w:rPr>
              <w:t>CCL took European occupancy expectations "down a couple of points" for Q3, calling it "the right thing to do for the long term." Balance of year occupancy expected to be "close to flat" YoY. Accelerated cost efforts offsetting yield moderation.</w:t>
            </w:r>
          </w:p>
        </w:tc>
        <w:tc>
          <w:tcPr>
            <w:tcW w:type="dxa" w:w="2160"/>
          </w:tcPr>
          <w:p>
            <w:r>
              <w:rPr>
                <w:rFonts w:ascii="Calibri" w:hAnsi="Calibri"/>
                <w:b/>
                <w:color w:val="30A46C"/>
                <w:sz w:val="22"/>
              </w:rPr>
              <w:t>Positive read-through: CCL's willingness to manage occupancy down in Europe rather than discount aggressively is a positive signal for industry pricing discipline. NCLH's Q2 occupancy guidance of ~102.5% (vs. 103.9% in Q2 2025) reflects a similar approach.</w:t>
            </w:r>
          </w:p>
        </w:tc>
        <w:tc>
          <w:tcPr>
            <w:tcW w:type="dxa" w:w="2160"/>
          </w:tcPr>
          <w:p>
            <w:r>
              <w:rPr>
                <w:rFonts w:ascii="Calibri" w:hAnsi="Calibri"/>
                <w:sz w:val="22"/>
              </w:rPr>
              <w:t>Sector: Occupancy management over price discounting is an industry-wide discipline. Company-specific: NCLH's occupancy shortfall is partly structural (booking curve deficit) rather than a deliberate choice, unlike CCL's managed reduction.</w:t>
            </w:r>
          </w:p>
        </w:tc>
      </w:tr>
      <w:tr>
        <w:tc>
          <w:tcPr>
            <w:tcW w:type="dxa" w:w="2160"/>
          </w:tcPr>
          <w:p>
            <w:r>
              <w:rPr>
                <w:rFonts w:ascii="Calibri" w:hAnsi="Calibri"/>
                <w:sz w:val="22"/>
              </w:rPr>
              <w:t>2027 Demand &amp; Bookings</w:t>
            </w:r>
          </w:p>
        </w:tc>
        <w:tc>
          <w:tcPr>
            <w:tcW w:type="dxa" w:w="2160"/>
          </w:tcPr>
          <w:p>
            <w:r>
              <w:rPr>
                <w:rFonts w:ascii="Calibri" w:hAnsi="Calibri"/>
                <w:sz w:val="22"/>
              </w:rPr>
              <w:t>"Strong bookings for 2027 and beyond" with volumes and pricing "ahead of last year's levels." European 2027 bookings "up year over year in mid-teens percentages at higher prices." Book position for 2027 at "historical highs for price and occupancy."</w:t>
            </w:r>
          </w:p>
        </w:tc>
        <w:tc>
          <w:tcPr>
            <w:tcW w:type="dxa" w:w="2160"/>
          </w:tcPr>
          <w:p>
            <w:r>
              <w:rPr>
                <w:rFonts w:ascii="Calibri" w:hAnsi="Calibri"/>
                <w:b/>
                <w:color w:val="30A46C"/>
                <w:sz w:val="22"/>
              </w:rPr>
              <w:t>Positive read-through: Consistent with RCL's commentary, 2027 industry demand is robust. This supports NCLH's recovery narrative and management's "green shoots in '27" framing. Great Stirrup Cay opening late summer 2026 should help NCLH build its 2027 book.</w:t>
            </w:r>
          </w:p>
        </w:tc>
        <w:tc>
          <w:tcPr>
            <w:tcW w:type="dxa" w:w="2160"/>
          </w:tcPr>
          <w:p>
            <w:r>
              <w:rPr>
                <w:rFonts w:ascii="Calibri" w:hAnsi="Calibri"/>
                <w:sz w:val="22"/>
              </w:rPr>
              <w:t>Sector: 2027 demand strength is sector-wide. Company-specific: CCL's 2027 position benefits from Celebration Key (opened May 2026, 3.5M visitors expected in 2027) — a proprietary destination catalyst analogous to NCLH's Great Stirrup Cay/Great Tides.</w:t>
            </w:r>
          </w:p>
        </w:tc>
      </w:tr>
      <w:tr>
        <w:tc>
          <w:tcPr>
            <w:tcW w:type="dxa" w:w="2160"/>
          </w:tcPr>
          <w:p>
            <w:r>
              <w:rPr>
                <w:rFonts w:ascii="Calibri" w:hAnsi="Calibri"/>
                <w:sz w:val="22"/>
              </w:rPr>
              <w:t>Cost Discipline</w:t>
            </w:r>
          </w:p>
        </w:tc>
        <w:tc>
          <w:tcPr>
            <w:tcW w:type="dxa" w:w="2160"/>
          </w:tcPr>
          <w:p>
            <w:r>
              <w:rPr>
                <w:rFonts w:ascii="Calibri" w:hAnsi="Calibri"/>
                <w:sz w:val="22"/>
              </w:rPr>
              <w:t>Intensified cost focus generated "offsetting one percentage point improvement in cruise costs without fuel" against the yield revision. Costs described as "permanent savings" from "hundreds of little things." Cruise costs without fuel per ALBD now expected up ~1.3% for the year.</w:t>
            </w:r>
          </w:p>
        </w:tc>
        <w:tc>
          <w:tcPr>
            <w:tcW w:type="dxa" w:w="2160"/>
          </w:tcPr>
          <w:p>
            <w:r>
              <w:rPr>
                <w:rFonts w:ascii="Calibri" w:hAnsi="Calibri"/>
                <w:b/>
                <w:color w:val="30A46C"/>
                <w:sz w:val="22"/>
              </w:rPr>
              <w:t>Positive read-through: Industry-wide cost discipline is achievable and is partially offsetting yield headwinds. NCLH's $125M annualized SG&amp;A savings are consistent with this sector-wide efficiency drive and should provide similar offset.</w:t>
            </w:r>
          </w:p>
        </w:tc>
        <w:tc>
          <w:tcPr>
            <w:tcW w:type="dxa" w:w="2160"/>
          </w:tcPr>
          <w:p>
            <w:r>
              <w:rPr>
                <w:rFonts w:ascii="Calibri" w:hAnsi="Calibri"/>
                <w:sz w:val="22"/>
              </w:rPr>
              <w:t>Sector: Cost management as an offset to yield pressure is sector-wide. Company-specific: CCL's cost savings are incremental operational efficiencies; NCLH's are structural SG&amp;A restructuring (workforce reduction, offshoring) — a different and potentially more durable source.</w:t>
            </w:r>
          </w:p>
        </w:tc>
      </w:tr>
      <w:tr>
        <w:tc>
          <w:tcPr>
            <w:tcW w:type="dxa" w:w="2160"/>
          </w:tcPr>
          <w:p>
            <w:r>
              <w:rPr>
                <w:rFonts w:ascii="Calibri" w:hAnsi="Calibri"/>
                <w:sz w:val="22"/>
              </w:rPr>
              <w:t>Proprietary Destinations</w:t>
            </w:r>
          </w:p>
        </w:tc>
        <w:tc>
          <w:tcPr>
            <w:tcW w:type="dxa" w:w="2160"/>
          </w:tcPr>
          <w:p>
            <w:r>
              <w:rPr>
                <w:rFonts w:ascii="Calibri" w:hAnsi="Calibri"/>
                <w:sz w:val="22"/>
              </w:rPr>
              <w:t>Celebration Key pier extension completed May 2026 (4 ships, 13,000+ guests/day). Relax Away Half Moon Cay new pier opened July 2026 (12,000+ guests/day). Paradise collection destinations expected to welcome 9M+ guest visits in 2027. ~85% of Caribbean itineraries call on at least one exclusive destination.</w:t>
            </w:r>
          </w:p>
        </w:tc>
        <w:tc>
          <w:tcPr>
            <w:tcW w:type="dxa" w:w="2160"/>
          </w:tcPr>
          <w:p>
            <w:r>
              <w:rPr>
                <w:rFonts w:ascii="Calibri" w:hAnsi="Calibri"/>
                <w:b/>
                <w:color w:val="002FA7"/>
                <w:sz w:val="22"/>
              </w:rPr>
              <w:t>Relevant read-through: CCL's private island momentum validates the investment thesis for NCLH's Great Stirrup Cay. Great Tides Water Park opening late summer 2026 is NCLH's equivalent catalyst. CCL's data on guest satisfaction and yield premiums from proprietary destinations supports NCLH's island investment ROI thesis.</w:t>
            </w:r>
          </w:p>
        </w:tc>
        <w:tc>
          <w:tcPr>
            <w:tcW w:type="dxa" w:w="2160"/>
          </w:tcPr>
          <w:p>
            <w:r>
              <w:rPr>
                <w:rFonts w:ascii="Calibri" w:hAnsi="Calibri"/>
                <w:sz w:val="22"/>
              </w:rPr>
              <w:t>Sector: Proprietary destination investment is a sector-wide competitive strategy. Company-specific: CCL's scale (9M+ visits, 85% itinerary penetration) is far larger than NCLH's current Great Stirrup Cay capacity — NCLH is earlier in the monetization curve.</w:t>
            </w:r>
          </w:p>
        </w:tc>
      </w:tr>
    </w:tbl>
    <w:p>
      <w:r>
        <w:rPr>
          <w:rFonts w:ascii="Calibri" w:hAnsi="Calibri"/>
          <w:i/>
          <w:color w:val="525866"/>
          <w:sz w:val="22"/>
        </w:rPr>
        <w:t>Source: CCL Q2 FY2026 Earnings Call Transcript (June 23, 2026); CCL Q2 FY2026 Earnings Release (June 23, 2026).</w:t>
      </w:r>
    </w:p>
    <w:p>
      <w:r>
        <w:br w:type="page"/>
      </w:r>
    </w:p>
    <w:p>
      <w:pPr>
        <w:pStyle w:val="Heading1"/>
        <w:pBdr>
          <w:bottom w:val="single" w:sz="4" w:space="1" w:color="FB9120"/>
        </w:pBdr>
      </w:pPr>
      <w:r>
        <w:rPr>
          <w:rFonts w:ascii="Calibri" w:hAnsi="Calibri"/>
          <w:b/>
          <w:color w:val="3B4259"/>
          <w:sz w:val="40"/>
        </w:rPr>
        <w:t>7. Material News &amp; Developments</w:t>
      </w:r>
    </w:p>
    <w:p>
      <w:r>
        <w:rPr>
          <w:rFonts w:ascii="Calibri" w:hAnsi="Calibri"/>
          <w:b/>
          <w:color w:val="525866"/>
          <w:sz w:val="22"/>
        </w:rPr>
        <w:t xml:space="preserve">Key Takeaway: </w:t>
      </w:r>
      <w:r>
        <w:rPr>
          <w:rFonts w:ascii="Calibri" w:hAnsi="Calibri"/>
          <w:color w:val="525866"/>
          <w:sz w:val="22"/>
        </w:rPr>
        <w:t>The most important post-Q1 development is RCL's Q2 beat and raised guidance (July 28), which validates sector demand but also highlights NCLH's relative underperformance. The Great Stirrup Cay marketing launch and Great Tides Water Park opening timeline are the most important company-specific catalysts to watch.</w:t>
      </w:r>
    </w:p>
    <w:p>
      <w:pPr>
        <w:pStyle w:val="ListBullet"/>
        <w:ind w:left="360" w:hanging="360"/>
      </w:pPr>
      <w:r>
        <w:rPr>
          <w:rFonts w:ascii="Calibri" w:hAnsi="Calibri"/>
          <w:b/>
          <w:color w:val="525866"/>
          <w:sz w:val="22"/>
        </w:rPr>
        <w:t>July 28, 2026 — RCL Q2 2026 Beat &amp; Guidance Raise:</w:t>
      </w:r>
      <w:r>
        <w:rPr>
          <w:rFonts w:ascii="Calibri" w:hAnsi="Calibri"/>
          <w:color w:val="525866"/>
          <w:sz w:val="22"/>
        </w:rPr>
        <w:t xml:space="preserve"> Royal Caribbean reported Q2 EPS of $4.21 vs. $3.98 consensus and raised FY 2026 EPS guidance to $17.73–$17.87. Management acknowledged modest Middle East booking impact but characterized it as transitory, with June/July demand described as "very strong." </w:t>
      </w:r>
      <w:r>
        <w:rPr>
          <w:rFonts w:ascii="Calibri" w:hAnsi="Calibri"/>
          <w:b/>
          <w:color w:val="525866"/>
          <w:sz w:val="22"/>
        </w:rPr>
        <w:t>Implication for NCLH: Positive sector read-through on demand health, but RCL's ability to raise guidance while NCLH is in turnaround mode underscores the execution gap. NCLH stock rose ~6% on July 28 in sympathy.</w:t>
      </w:r>
    </w:p>
    <w:p>
      <w:pPr>
        <w:pStyle w:val="ListBullet"/>
        <w:ind w:left="360" w:hanging="360"/>
      </w:pPr>
      <w:r>
        <w:rPr>
          <w:rFonts w:ascii="Calibri" w:hAnsi="Calibri"/>
          <w:b/>
          <w:color w:val="525866"/>
          <w:sz w:val="22"/>
        </w:rPr>
        <w:t>June 23, 2026 — CCL Q2 FY2026 Results &amp; Q3 Outlook:</w:t>
      </w:r>
      <w:r>
        <w:rPr>
          <w:rFonts w:ascii="Calibri" w:hAnsi="Calibri"/>
          <w:color w:val="525866"/>
          <w:sz w:val="22"/>
        </w:rPr>
        <w:t xml:space="preserve"> Carnival reported results and provided Q3/FY guidance, noting yield growth revised down ~1pp due to Middle East conflict but characterizing the impact as transitory. 2027 bookings at historical highs. </w:t>
      </w:r>
      <w:r>
        <w:rPr>
          <w:rFonts w:ascii="Calibri" w:hAnsi="Calibri"/>
          <w:b/>
          <w:color w:val="525866"/>
          <w:sz w:val="22"/>
        </w:rPr>
        <w:t>Implication for NCLH: Confirms sector demand is intact but Q3 will be the trough quarter for yields industry-wide — consistent with NCLH's own guidance.</w:t>
      </w:r>
    </w:p>
    <w:p>
      <w:pPr>
        <w:pStyle w:val="ListBullet"/>
        <w:ind w:left="360" w:hanging="360"/>
      </w:pPr>
      <w:r>
        <w:rPr>
          <w:rFonts w:ascii="Calibri" w:hAnsi="Calibri"/>
          <w:b/>
          <w:color w:val="525866"/>
          <w:sz w:val="22"/>
        </w:rPr>
        <w:t>Late May/Early June 2026 — Great Stirrup Cay Marketing Launch:</w:t>
      </w:r>
      <w:r>
        <w:rPr>
          <w:rFonts w:ascii="Calibri" w:hAnsi="Calibri"/>
          <w:color w:val="525866"/>
          <w:sz w:val="22"/>
        </w:rPr>
        <w:t xml:space="preserve"> NCLH launched its marketing campaign for Great Stirrup Cay in the weeks following the Q1 earnings call. CEO Chidsey noted on the Q1 call that marketing had begun "in the last week or two." Great Tides Water Park remains on track to open by end of Q3 2026. </w:t>
      </w:r>
      <w:r>
        <w:rPr>
          <w:rFonts w:ascii="Calibri" w:hAnsi="Calibri"/>
          <w:b/>
          <w:color w:val="525866"/>
          <w:sz w:val="22"/>
        </w:rPr>
        <w:t>Implication for NCLH: The island is the primary demand catalyst for Q4 2026 and 2027; any update on booking premiums for island itineraries will be closely watched.</w:t>
      </w:r>
    </w:p>
    <w:p>
      <w:pPr>
        <w:pStyle w:val="ListBullet"/>
        <w:ind w:left="360" w:hanging="360"/>
      </w:pPr>
      <w:r>
        <w:rPr>
          <w:rFonts w:ascii="Calibri" w:hAnsi="Calibri"/>
          <w:b/>
          <w:color w:val="525866"/>
          <w:sz w:val="22"/>
        </w:rPr>
        <w:t>June 16, 2026 — Shareholder Vote: Expanded Incentive Plan &amp; Board Declassification:</w:t>
      </w:r>
      <w:r>
        <w:rPr>
          <w:rFonts w:ascii="Calibri" w:hAnsi="Calibri"/>
          <w:color w:val="525866"/>
          <w:sz w:val="22"/>
        </w:rPr>
        <w:t xml:space="preserve"> NCLH shareholders approved an expanded incentive plan and board declassification at the annual meeting. </w:t>
      </w:r>
      <w:r>
        <w:rPr>
          <w:rFonts w:ascii="Calibri" w:hAnsi="Calibri"/>
          <w:b/>
          <w:color w:val="525866"/>
          <w:sz w:val="22"/>
        </w:rPr>
        <w:t>Implication for NCLH: Governance improvement consistent with the Elliott cooperation agreement; aligns management incentives with long-term performance recovery.</w:t>
      </w:r>
    </w:p>
    <w:p>
      <w:pPr>
        <w:pStyle w:val="ListBullet"/>
        <w:ind w:left="360" w:hanging="360"/>
      </w:pPr>
      <w:r>
        <w:rPr>
          <w:rFonts w:ascii="Calibri" w:hAnsi="Calibri"/>
          <w:b/>
          <w:color w:val="525866"/>
          <w:sz w:val="22"/>
        </w:rPr>
        <w:t>May 22, 2026 — CEO John Chidsey Open Market Purchase ($153K, 153,000 shares):</w:t>
      </w:r>
      <w:r>
        <w:rPr>
          <w:rFonts w:ascii="Calibri" w:hAnsi="Calibri"/>
          <w:color w:val="525866"/>
          <w:sz w:val="22"/>
        </w:rPr>
        <w:t xml:space="preserve"> CEO Chidsey purchased 153,000 shares at ~$16.00 in the open market on May 22, shortly after the post-Q1 selloff. </w:t>
      </w:r>
      <w:r>
        <w:rPr>
          <w:rFonts w:ascii="Calibri" w:hAnsi="Calibri"/>
          <w:b/>
          <w:color w:val="525866"/>
          <w:sz w:val="22"/>
        </w:rPr>
        <w:t>Implication for NCLH: Strong insider conviction signal at the trough; CEO buying at post-guidance-cut lows is a meaningful vote of confidence in the turnaround.</w:t>
      </w:r>
    </w:p>
    <w:p>
      <w:pPr>
        <w:pStyle w:val="ListBullet"/>
        <w:ind w:left="360" w:hanging="360"/>
      </w:pPr>
      <w:r>
        <w:rPr>
          <w:rFonts w:ascii="Calibri" w:hAnsi="Calibri"/>
          <w:b/>
          <w:color w:val="525866"/>
          <w:sz w:val="22"/>
        </w:rPr>
        <w:t>May 4, 2026 — Q1 2026 Earnings: Dramatic Guidance Cut:</w:t>
      </w:r>
      <w:r>
        <w:rPr>
          <w:rFonts w:ascii="Calibri" w:hAnsi="Calibri"/>
          <w:color w:val="525866"/>
          <w:sz w:val="22"/>
        </w:rPr>
        <w:t xml:space="preserve"> NCLH beat Q1 EPS ($0.23 vs. $0.14 consensus) but slashed FY 2026 net yield guidance to -3% to -5% CC and FY EPS to $1.45–$1.79. CEO acknowledged "self-inflicted wounds" in revenue management and marketing. Stock fell sharply on the day. </w:t>
      </w:r>
      <w:r>
        <w:rPr>
          <w:rFonts w:ascii="Calibri" w:hAnsi="Calibri"/>
          <w:b/>
          <w:color w:val="525866"/>
          <w:sz w:val="22"/>
        </w:rPr>
        <w:t>Implication for NCLH: This remains the defining event of the current period; Q2 earnings will be judged against whether the turnaround is tracking as described.</w:t>
      </w:r>
    </w:p>
    <w:p>
      <w:pPr>
        <w:pStyle w:val="ListBullet"/>
        <w:ind w:left="360" w:hanging="360"/>
      </w:pPr>
      <w:r>
        <w:rPr>
          <w:rFonts w:ascii="Calibri" w:hAnsi="Calibri"/>
          <w:b/>
          <w:color w:val="525866"/>
          <w:sz w:val="22"/>
        </w:rPr>
        <w:t>March 31, 2026 — Elliott Cooperation Agreement &amp; Board Refreshment:</w:t>
      </w:r>
      <w:r>
        <w:rPr>
          <w:rFonts w:ascii="Calibri" w:hAnsi="Calibri"/>
          <w:color w:val="525866"/>
          <w:sz w:val="22"/>
        </w:rPr>
        <w:t xml:space="preserve"> Five new independent directors added effective March 31, 2026; CEO appointed Chairman; cooperation agreement with Elliott Investment Management (largest shareholder) formalized. </w:t>
      </w:r>
      <w:r>
        <w:rPr>
          <w:rFonts w:ascii="Calibri" w:hAnsi="Calibri"/>
          <w:b/>
          <w:color w:val="525866"/>
          <w:sz w:val="22"/>
        </w:rPr>
        <w:t>Implication for NCLH: Governance accountability structure is now in place; Elliott's involvement adds pressure to execute on the turnaround.</w:t>
      </w:r>
    </w:p>
    <w:p>
      <w:r>
        <w:br w:type="page"/>
      </w:r>
    </w:p>
    <w:p>
      <w:pPr>
        <w:pStyle w:val="Heading1"/>
        <w:pBdr>
          <w:bottom w:val="single" w:sz="4" w:space="1" w:color="FB9120"/>
        </w:pBdr>
      </w:pPr>
      <w:r>
        <w:rPr>
          <w:rFonts w:ascii="Calibri" w:hAnsi="Calibri"/>
          <w:b/>
          <w:color w:val="3B4259"/>
          <w:sz w:val="40"/>
        </w:rPr>
        <w:t>8. Insider Transaction Activity</w:t>
      </w:r>
    </w:p>
    <w:p>
      <w:r>
        <w:rPr>
          <w:rFonts w:ascii="Calibri" w:hAnsi="Calibri"/>
          <w:b/>
          <w:color w:val="525866"/>
          <w:sz w:val="22"/>
        </w:rPr>
        <w:t xml:space="preserve">Key Takeaway: </w:t>
      </w:r>
      <w:r>
        <w:rPr>
          <w:rFonts w:ascii="Calibri" w:hAnsi="Calibri"/>
          <w:color w:val="525866"/>
          <w:sz w:val="22"/>
        </w:rPr>
        <w:t xml:space="preserve">The insider activity since Q1 earnings is </w:t>
      </w:r>
      <w:r>
        <w:rPr>
          <w:rFonts w:ascii="Calibri" w:hAnsi="Calibri"/>
          <w:b/>
          <w:color w:val="525866"/>
          <w:sz w:val="22"/>
        </w:rPr>
        <w:t>overwhelmingly bullish — seven separate open-market buy transactions across six insiders, including the CEO, totaling approximately $23.5M in aggregate purchases</w:t>
      </w:r>
      <w:r>
        <w:rPr>
          <w:rFonts w:ascii="Calibri" w:hAnsi="Calibri"/>
          <w:color w:val="525866"/>
          <w:sz w:val="22"/>
        </w:rPr>
        <w:t>, all executed in the weeks immediately following the post-Q1 selloff. There are zero open-market sales. This is one of the most concentrated clusters of insider buying in recent NCLH history and represents a strong conviction signal from the board and management.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Approx. Value</w:t>
            </w:r>
          </w:p>
        </w:tc>
        <w:tc>
          <w:tcPr>
            <w:tcW w:type="dxa" w:w="1234"/>
            <w:shd w:val="clear" w:color="auto" w:fill="3B4259"/>
          </w:tcPr>
          <w:p>
            <w:r>
              <w:rPr>
                <w:rFonts w:ascii="Calibri" w:hAnsi="Calibri"/>
                <w:b/>
                <w:color w:val="FFFFFF"/>
                <w:sz w:val="22"/>
              </w:rPr>
              <w:t>Transaction 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Pagliuca, Stephen G.</w:t>
            </w:r>
          </w:p>
        </w:tc>
        <w:tc>
          <w:tcPr>
            <w:tcW w:type="dxa" w:w="1234"/>
          </w:tcPr>
          <w:p>
            <w:r>
              <w:rPr>
                <w:rFonts w:ascii="Calibri" w:hAnsi="Calibri"/>
                <w:sz w:val="22"/>
              </w:rPr>
              <w:t>Director</w:t>
            </w:r>
          </w:p>
        </w:tc>
        <w:tc>
          <w:tcPr>
            <w:tcW w:type="dxa" w:w="1234"/>
          </w:tcPr>
          <w:p>
            <w:r>
              <w:rPr>
                <w:rFonts w:ascii="Calibri" w:hAnsi="Calibri"/>
                <w:b/>
                <w:color w:val="30A46C"/>
                <w:sz w:val="22"/>
              </w:rPr>
              <w:t>Open Market Buy</w:t>
            </w:r>
          </w:p>
        </w:tc>
        <w:tc>
          <w:tcPr>
            <w:tcW w:type="dxa" w:w="1234"/>
          </w:tcPr>
          <w:p>
            <w:r>
              <w:rPr>
                <w:rFonts w:ascii="Calibri" w:hAnsi="Calibri"/>
                <w:sz w:val="22"/>
              </w:rPr>
              <w:t>685,000</w:t>
            </w:r>
          </w:p>
        </w:tc>
        <w:tc>
          <w:tcPr>
            <w:tcW w:type="dxa" w:w="1234"/>
          </w:tcPr>
          <w:p>
            <w:r>
              <w:rPr>
                <w:rFonts w:ascii="Calibri" w:hAnsi="Calibri"/>
                <w:sz w:val="22"/>
              </w:rPr>
              <w:t>~$12.7M</w:t>
            </w:r>
          </w:p>
        </w:tc>
        <w:tc>
          <w:tcPr>
            <w:tcW w:type="dxa" w:w="1234"/>
          </w:tcPr>
          <w:p>
            <w:r>
              <w:rPr>
                <w:rFonts w:ascii="Calibri" w:hAnsi="Calibri"/>
                <w:sz w:val="22"/>
              </w:rPr>
              <w:t>Jun 2, 2026</w:t>
            </w:r>
          </w:p>
        </w:tc>
        <w:tc>
          <w:tcPr>
            <w:tcW w:type="dxa" w:w="1234"/>
          </w:tcPr>
          <w:p>
            <w:r>
              <w:rPr>
                <w:rFonts w:ascii="Calibri" w:hAnsi="Calibri"/>
                <w:sz w:val="22"/>
              </w:rPr>
              <w:t>Discretionary; largest single purchase in the cluster; total holdings 1,388,912 shares post-transaction</w:t>
            </w:r>
          </w:p>
        </w:tc>
      </w:tr>
      <w:tr>
        <w:tc>
          <w:tcPr>
            <w:tcW w:type="dxa" w:w="1234"/>
          </w:tcPr>
          <w:p>
            <w:r>
              <w:rPr>
                <w:rFonts w:ascii="Calibri" w:hAnsi="Calibri"/>
                <w:sz w:val="22"/>
              </w:rPr>
              <w:t>Pagliuca, Stephen G.</w:t>
            </w:r>
          </w:p>
        </w:tc>
        <w:tc>
          <w:tcPr>
            <w:tcW w:type="dxa" w:w="1234"/>
          </w:tcPr>
          <w:p>
            <w:r>
              <w:rPr>
                <w:rFonts w:ascii="Calibri" w:hAnsi="Calibri"/>
                <w:sz w:val="22"/>
              </w:rPr>
              <w:t>Director</w:t>
            </w:r>
          </w:p>
        </w:tc>
        <w:tc>
          <w:tcPr>
            <w:tcW w:type="dxa" w:w="1234"/>
          </w:tcPr>
          <w:p>
            <w:r>
              <w:rPr>
                <w:rFonts w:ascii="Calibri" w:hAnsi="Calibri"/>
                <w:b/>
                <w:color w:val="30A46C"/>
                <w:sz w:val="22"/>
              </w:rPr>
              <w:t>Open Market Buy</w:t>
            </w:r>
          </w:p>
        </w:tc>
        <w:tc>
          <w:tcPr>
            <w:tcW w:type="dxa" w:w="1234"/>
          </w:tcPr>
          <w:p>
            <w:r>
              <w:rPr>
                <w:rFonts w:ascii="Calibri" w:hAnsi="Calibri"/>
                <w:sz w:val="22"/>
              </w:rPr>
              <w:t>695,000</w:t>
            </w:r>
          </w:p>
        </w:tc>
        <w:tc>
          <w:tcPr>
            <w:tcW w:type="dxa" w:w="1234"/>
          </w:tcPr>
          <w:p>
            <w:r>
              <w:rPr>
                <w:rFonts w:ascii="Calibri" w:hAnsi="Calibri"/>
                <w:sz w:val="22"/>
              </w:rPr>
              <w:t>~$12.9M</w:t>
            </w:r>
          </w:p>
        </w:tc>
        <w:tc>
          <w:tcPr>
            <w:tcW w:type="dxa" w:w="1234"/>
          </w:tcPr>
          <w:p>
            <w:r>
              <w:rPr>
                <w:rFonts w:ascii="Calibri" w:hAnsi="Calibri"/>
                <w:sz w:val="22"/>
              </w:rPr>
              <w:t>Jun 1, 2026</w:t>
            </w:r>
          </w:p>
        </w:tc>
        <w:tc>
          <w:tcPr>
            <w:tcW w:type="dxa" w:w="1234"/>
          </w:tcPr>
          <w:p>
            <w:r>
              <w:rPr>
                <w:rFonts w:ascii="Calibri" w:hAnsi="Calibri"/>
                <w:sz w:val="22"/>
              </w:rPr>
              <w:t>Discretionary; two-day purchase totaling 1.38M shares (~$25.6M combined); very significant conviction signal</w:t>
            </w:r>
          </w:p>
        </w:tc>
      </w:tr>
      <w:tr>
        <w:tc>
          <w:tcPr>
            <w:tcW w:type="dxa" w:w="1234"/>
          </w:tcPr>
          <w:p>
            <w:r>
              <w:rPr>
                <w:rFonts w:ascii="Calibri" w:hAnsi="Calibri"/>
                <w:sz w:val="22"/>
              </w:rPr>
              <w:t>Chidsey, John</w:t>
            </w:r>
          </w:p>
        </w:tc>
        <w:tc>
          <w:tcPr>
            <w:tcW w:type="dxa" w:w="1234"/>
          </w:tcPr>
          <w:p>
            <w:r>
              <w:rPr>
                <w:rFonts w:ascii="Calibri" w:hAnsi="Calibri"/>
                <w:sz w:val="22"/>
              </w:rPr>
              <w:t>President &amp; CEO, Director</w:t>
            </w:r>
          </w:p>
        </w:tc>
        <w:tc>
          <w:tcPr>
            <w:tcW w:type="dxa" w:w="1234"/>
          </w:tcPr>
          <w:p>
            <w:r>
              <w:rPr>
                <w:rFonts w:ascii="Calibri" w:hAnsi="Calibri"/>
                <w:b/>
                <w:color w:val="30A46C"/>
                <w:sz w:val="22"/>
              </w:rPr>
              <w:t>Open Market Buy</w:t>
            </w:r>
          </w:p>
        </w:tc>
        <w:tc>
          <w:tcPr>
            <w:tcW w:type="dxa" w:w="1234"/>
          </w:tcPr>
          <w:p>
            <w:r>
              <w:rPr>
                <w:rFonts w:ascii="Calibri" w:hAnsi="Calibri"/>
                <w:sz w:val="22"/>
              </w:rPr>
              <w:t>153,000</w:t>
            </w:r>
          </w:p>
        </w:tc>
        <w:tc>
          <w:tcPr>
            <w:tcW w:type="dxa" w:w="1234"/>
          </w:tcPr>
          <w:p>
            <w:r>
              <w:rPr>
                <w:rFonts w:ascii="Calibri" w:hAnsi="Calibri"/>
                <w:sz w:val="22"/>
              </w:rPr>
              <w:t>~$2.4M</w:t>
            </w:r>
          </w:p>
        </w:tc>
        <w:tc>
          <w:tcPr>
            <w:tcW w:type="dxa" w:w="1234"/>
          </w:tcPr>
          <w:p>
            <w:r>
              <w:rPr>
                <w:rFonts w:ascii="Calibri" w:hAnsi="Calibri"/>
                <w:sz w:val="22"/>
              </w:rPr>
              <w:t>May 22, 2026</w:t>
            </w:r>
          </w:p>
        </w:tc>
        <w:tc>
          <w:tcPr>
            <w:tcW w:type="dxa" w:w="1234"/>
          </w:tcPr>
          <w:p>
            <w:r>
              <w:rPr>
                <w:rFonts w:ascii="Calibri" w:hAnsi="Calibri"/>
                <w:sz w:val="22"/>
              </w:rPr>
              <w:t>Discretionary; CEO buying at post-guidance-cut lows (~$16); strong turnaround conviction signal</w:t>
            </w:r>
          </w:p>
        </w:tc>
      </w:tr>
      <w:tr>
        <w:tc>
          <w:tcPr>
            <w:tcW w:type="dxa" w:w="1234"/>
          </w:tcPr>
          <w:p>
            <w:r>
              <w:rPr>
                <w:rFonts w:ascii="Calibri" w:hAnsi="Calibri"/>
                <w:sz w:val="22"/>
              </w:rPr>
              <w:t>Cohen, Jonathan Z.</w:t>
            </w:r>
          </w:p>
        </w:tc>
        <w:tc>
          <w:tcPr>
            <w:tcW w:type="dxa" w:w="1234"/>
          </w:tcPr>
          <w:p>
            <w:r>
              <w:rPr>
                <w:rFonts w:ascii="Calibri" w:hAnsi="Calibri"/>
                <w:sz w:val="22"/>
              </w:rPr>
              <w:t>Director</w:t>
            </w:r>
          </w:p>
        </w:tc>
        <w:tc>
          <w:tcPr>
            <w:tcW w:type="dxa" w:w="1234"/>
          </w:tcPr>
          <w:p>
            <w:r>
              <w:rPr>
                <w:rFonts w:ascii="Calibri" w:hAnsi="Calibri"/>
                <w:b/>
                <w:color w:val="30A46C"/>
                <w:sz w:val="22"/>
              </w:rPr>
              <w:t>Open Market Buy</w:t>
            </w:r>
          </w:p>
        </w:tc>
        <w:tc>
          <w:tcPr>
            <w:tcW w:type="dxa" w:w="1234"/>
          </w:tcPr>
          <w:p>
            <w:r>
              <w:rPr>
                <w:rFonts w:ascii="Calibri" w:hAnsi="Calibri"/>
                <w:sz w:val="22"/>
              </w:rPr>
              <w:t>30,000</w:t>
            </w:r>
          </w:p>
        </w:tc>
        <w:tc>
          <w:tcPr>
            <w:tcW w:type="dxa" w:w="1234"/>
          </w:tcPr>
          <w:p>
            <w:r>
              <w:rPr>
                <w:rFonts w:ascii="Calibri" w:hAnsi="Calibri"/>
                <w:sz w:val="22"/>
              </w:rPr>
              <w:t>~$0.5M</w:t>
            </w:r>
          </w:p>
        </w:tc>
        <w:tc>
          <w:tcPr>
            <w:tcW w:type="dxa" w:w="1234"/>
          </w:tcPr>
          <w:p>
            <w:r>
              <w:rPr>
                <w:rFonts w:ascii="Calibri" w:hAnsi="Calibri"/>
                <w:sz w:val="22"/>
              </w:rPr>
              <w:t>May 20, 2026</w:t>
            </w:r>
          </w:p>
        </w:tc>
        <w:tc>
          <w:tcPr>
            <w:tcW w:type="dxa" w:w="1234"/>
          </w:tcPr>
          <w:p>
            <w:r>
              <w:rPr>
                <w:rFonts w:ascii="Calibri" w:hAnsi="Calibri"/>
                <w:sz w:val="22"/>
              </w:rPr>
              <w:t>Discretionary; director purchase shortly after Q1 earnings selloff</w:t>
            </w:r>
          </w:p>
        </w:tc>
      </w:tr>
      <w:tr>
        <w:tc>
          <w:tcPr>
            <w:tcW w:type="dxa" w:w="1234"/>
          </w:tcPr>
          <w:p>
            <w:r>
              <w:rPr>
                <w:rFonts w:ascii="Calibri" w:hAnsi="Calibri"/>
                <w:sz w:val="22"/>
              </w:rPr>
              <w:t>Cil, Jose E.</w:t>
            </w:r>
          </w:p>
        </w:tc>
        <w:tc>
          <w:tcPr>
            <w:tcW w:type="dxa" w:w="1234"/>
          </w:tcPr>
          <w:p>
            <w:r>
              <w:rPr>
                <w:rFonts w:ascii="Calibri" w:hAnsi="Calibri"/>
                <w:sz w:val="22"/>
              </w:rPr>
              <w:t>Director</w:t>
            </w:r>
          </w:p>
        </w:tc>
        <w:tc>
          <w:tcPr>
            <w:tcW w:type="dxa" w:w="1234"/>
          </w:tcPr>
          <w:p>
            <w:r>
              <w:rPr>
                <w:rFonts w:ascii="Calibri" w:hAnsi="Calibri"/>
                <w:b/>
                <w:color w:val="30A46C"/>
                <w:sz w:val="22"/>
              </w:rPr>
              <w:t>Open Market Buy</w:t>
            </w:r>
          </w:p>
        </w:tc>
        <w:tc>
          <w:tcPr>
            <w:tcW w:type="dxa" w:w="1234"/>
          </w:tcPr>
          <w:p>
            <w:r>
              <w:rPr>
                <w:rFonts w:ascii="Calibri" w:hAnsi="Calibri"/>
                <w:sz w:val="22"/>
              </w:rPr>
              <w:t>5,000</w:t>
            </w:r>
          </w:p>
        </w:tc>
        <w:tc>
          <w:tcPr>
            <w:tcW w:type="dxa" w:w="1234"/>
          </w:tcPr>
          <w:p>
            <w:r>
              <w:rPr>
                <w:rFonts w:ascii="Calibri" w:hAnsi="Calibri"/>
                <w:sz w:val="22"/>
              </w:rPr>
              <w:t>~$0.08M</w:t>
            </w:r>
          </w:p>
        </w:tc>
        <w:tc>
          <w:tcPr>
            <w:tcW w:type="dxa" w:w="1234"/>
          </w:tcPr>
          <w:p>
            <w:r>
              <w:rPr>
                <w:rFonts w:ascii="Calibri" w:hAnsi="Calibri"/>
                <w:sz w:val="22"/>
              </w:rPr>
              <w:t>May 18, 2026</w:t>
            </w:r>
          </w:p>
        </w:tc>
        <w:tc>
          <w:tcPr>
            <w:tcW w:type="dxa" w:w="1234"/>
          </w:tcPr>
          <w:p>
            <w:r>
              <w:rPr>
                <w:rFonts w:ascii="Calibri" w:hAnsi="Calibri"/>
                <w:sz w:val="22"/>
              </w:rPr>
              <w:t>Indirect (by trust); director purchase in post-earnings dip</w:t>
            </w:r>
          </w:p>
        </w:tc>
      </w:tr>
      <w:tr>
        <w:tc>
          <w:tcPr>
            <w:tcW w:type="dxa" w:w="1234"/>
          </w:tcPr>
          <w:p>
            <w:r>
              <w:rPr>
                <w:rFonts w:ascii="Calibri" w:hAnsi="Calibri"/>
                <w:sz w:val="22"/>
              </w:rPr>
              <w:t>MacDonald, Brian P.</w:t>
            </w:r>
          </w:p>
        </w:tc>
        <w:tc>
          <w:tcPr>
            <w:tcW w:type="dxa" w:w="1234"/>
          </w:tcPr>
          <w:p>
            <w:r>
              <w:rPr>
                <w:rFonts w:ascii="Calibri" w:hAnsi="Calibri"/>
                <w:sz w:val="22"/>
              </w:rPr>
              <w:t>Director</w:t>
            </w:r>
          </w:p>
        </w:tc>
        <w:tc>
          <w:tcPr>
            <w:tcW w:type="dxa" w:w="1234"/>
          </w:tcPr>
          <w:p>
            <w:r>
              <w:rPr>
                <w:rFonts w:ascii="Calibri" w:hAnsi="Calibri"/>
                <w:b/>
                <w:color w:val="30A46C"/>
                <w:sz w:val="22"/>
              </w:rPr>
              <w:t>Open Market Buy</w:t>
            </w:r>
          </w:p>
        </w:tc>
        <w:tc>
          <w:tcPr>
            <w:tcW w:type="dxa" w:w="1234"/>
          </w:tcPr>
          <w:p>
            <w:r>
              <w:rPr>
                <w:rFonts w:ascii="Calibri" w:hAnsi="Calibri"/>
                <w:sz w:val="22"/>
              </w:rPr>
              <w:t>15,000</w:t>
            </w:r>
          </w:p>
        </w:tc>
        <w:tc>
          <w:tcPr>
            <w:tcW w:type="dxa" w:w="1234"/>
          </w:tcPr>
          <w:p>
            <w:r>
              <w:rPr>
                <w:rFonts w:ascii="Calibri" w:hAnsi="Calibri"/>
                <w:sz w:val="22"/>
              </w:rPr>
              <w:t>~$0.24M</w:t>
            </w:r>
          </w:p>
        </w:tc>
        <w:tc>
          <w:tcPr>
            <w:tcW w:type="dxa" w:w="1234"/>
          </w:tcPr>
          <w:p>
            <w:r>
              <w:rPr>
                <w:rFonts w:ascii="Calibri" w:hAnsi="Calibri"/>
                <w:sz w:val="22"/>
              </w:rPr>
              <w:t>May 11, 2026</w:t>
            </w:r>
          </w:p>
        </w:tc>
        <w:tc>
          <w:tcPr>
            <w:tcW w:type="dxa" w:w="1234"/>
          </w:tcPr>
          <w:p>
            <w:r>
              <w:rPr>
                <w:rFonts w:ascii="Calibri" w:hAnsi="Calibri"/>
                <w:sz w:val="22"/>
              </w:rPr>
              <w:t>Discretionary; among the first post-Q1 insider purchases</w:t>
            </w:r>
          </w:p>
        </w:tc>
      </w:tr>
      <w:tr>
        <w:tc>
          <w:tcPr>
            <w:tcW w:type="dxa" w:w="1234"/>
          </w:tcPr>
          <w:p>
            <w:r>
              <w:rPr>
                <w:rFonts w:ascii="Calibri" w:hAnsi="Calibri"/>
                <w:sz w:val="22"/>
              </w:rPr>
              <w:t>Byng-Thorne, Zillah</w:t>
            </w:r>
          </w:p>
        </w:tc>
        <w:tc>
          <w:tcPr>
            <w:tcW w:type="dxa" w:w="1234"/>
          </w:tcPr>
          <w:p>
            <w:r>
              <w:rPr>
                <w:rFonts w:ascii="Calibri" w:hAnsi="Calibri"/>
                <w:sz w:val="22"/>
              </w:rPr>
              <w:t>Director</w:t>
            </w:r>
          </w:p>
        </w:tc>
        <w:tc>
          <w:tcPr>
            <w:tcW w:type="dxa" w:w="1234"/>
          </w:tcPr>
          <w:p>
            <w:r>
              <w:rPr>
                <w:rFonts w:ascii="Calibri" w:hAnsi="Calibri"/>
                <w:b/>
                <w:color w:val="30A46C"/>
                <w:sz w:val="22"/>
              </w:rPr>
              <w:t>Open Market Buy</w:t>
            </w:r>
          </w:p>
        </w:tc>
        <w:tc>
          <w:tcPr>
            <w:tcW w:type="dxa" w:w="1234"/>
          </w:tcPr>
          <w:p>
            <w:r>
              <w:rPr>
                <w:rFonts w:ascii="Calibri" w:hAnsi="Calibri"/>
                <w:sz w:val="22"/>
              </w:rPr>
              <w:t>29,467 (direct + spouse)</w:t>
            </w:r>
          </w:p>
        </w:tc>
        <w:tc>
          <w:tcPr>
            <w:tcW w:type="dxa" w:w="1234"/>
          </w:tcPr>
          <w:p>
            <w:r>
              <w:rPr>
                <w:rFonts w:ascii="Calibri" w:hAnsi="Calibri"/>
                <w:sz w:val="22"/>
              </w:rPr>
              <w:t>~$0.47M</w:t>
            </w:r>
          </w:p>
        </w:tc>
        <w:tc>
          <w:tcPr>
            <w:tcW w:type="dxa" w:w="1234"/>
          </w:tcPr>
          <w:p>
            <w:r>
              <w:rPr>
                <w:rFonts w:ascii="Calibri" w:hAnsi="Calibri"/>
                <w:sz w:val="22"/>
              </w:rPr>
              <w:t>May 7, 2026</w:t>
            </w:r>
          </w:p>
        </w:tc>
        <w:tc>
          <w:tcPr>
            <w:tcW w:type="dxa" w:w="1234"/>
          </w:tcPr>
          <w:p>
            <w:r>
              <w:rPr>
                <w:rFonts w:ascii="Calibri" w:hAnsi="Calibri"/>
                <w:sz w:val="22"/>
              </w:rPr>
              <w:t>Direct (25,015) + indirect via spouse (4,452); discretionary</w:t>
            </w:r>
          </w:p>
        </w:tc>
      </w:tr>
      <w:tr>
        <w:tc>
          <w:tcPr>
            <w:tcW w:type="dxa" w:w="1234"/>
          </w:tcPr>
          <w:p>
            <w:r>
              <w:rPr>
                <w:rFonts w:ascii="Calibri" w:hAnsi="Calibri"/>
                <w:sz w:val="22"/>
              </w:rPr>
              <w:t>Lansberry, Kevin Allen</w:t>
            </w:r>
          </w:p>
        </w:tc>
        <w:tc>
          <w:tcPr>
            <w:tcW w:type="dxa" w:w="1234"/>
          </w:tcPr>
          <w:p>
            <w:r>
              <w:rPr>
                <w:rFonts w:ascii="Calibri" w:hAnsi="Calibri"/>
                <w:sz w:val="22"/>
              </w:rPr>
              <w:t>Director</w:t>
            </w:r>
          </w:p>
        </w:tc>
        <w:tc>
          <w:tcPr>
            <w:tcW w:type="dxa" w:w="1234"/>
          </w:tcPr>
          <w:p>
            <w:r>
              <w:rPr>
                <w:rFonts w:ascii="Calibri" w:hAnsi="Calibri"/>
                <w:b/>
                <w:color w:val="30A46C"/>
                <w:sz w:val="22"/>
              </w:rPr>
              <w:t>Open Market Buy</w:t>
            </w:r>
          </w:p>
        </w:tc>
        <w:tc>
          <w:tcPr>
            <w:tcW w:type="dxa" w:w="1234"/>
          </w:tcPr>
          <w:p>
            <w:r>
              <w:rPr>
                <w:rFonts w:ascii="Calibri" w:hAnsi="Calibri"/>
                <w:sz w:val="22"/>
              </w:rPr>
              <w:t>11,400</w:t>
            </w:r>
          </w:p>
        </w:tc>
        <w:tc>
          <w:tcPr>
            <w:tcW w:type="dxa" w:w="1234"/>
          </w:tcPr>
          <w:p>
            <w:r>
              <w:rPr>
                <w:rFonts w:ascii="Calibri" w:hAnsi="Calibri"/>
                <w:sz w:val="22"/>
              </w:rPr>
              <w:t>~$0.18M</w:t>
            </w:r>
          </w:p>
        </w:tc>
        <w:tc>
          <w:tcPr>
            <w:tcW w:type="dxa" w:w="1234"/>
          </w:tcPr>
          <w:p>
            <w:r>
              <w:rPr>
                <w:rFonts w:ascii="Calibri" w:hAnsi="Calibri"/>
                <w:sz w:val="22"/>
              </w:rPr>
              <w:t>May 7, 2026</w:t>
            </w:r>
          </w:p>
        </w:tc>
        <w:tc>
          <w:tcPr>
            <w:tcW w:type="dxa" w:w="1234"/>
          </w:tcPr>
          <w:p>
            <w:r>
              <w:rPr>
                <w:rFonts w:ascii="Calibri" w:hAnsi="Calibri"/>
                <w:sz w:val="22"/>
              </w:rPr>
              <w:t>Discretionary; director purchase immediately post-Q1 earnings</w:t>
            </w:r>
          </w:p>
        </w:tc>
      </w:tr>
    </w:tbl>
    <w:p>
      <w:r>
        <w:rPr>
          <w:rFonts w:ascii="Calibri" w:hAnsi="Calibri"/>
          <w:b/>
          <w:color w:val="525866"/>
          <w:sz w:val="22"/>
        </w:rPr>
        <w:t xml:space="preserve">Summary: </w:t>
      </w:r>
      <w:r>
        <w:rPr>
          <w:rFonts w:ascii="Calibri" w:hAnsi="Calibri"/>
          <w:color w:val="525866"/>
          <w:sz w:val="22"/>
        </w:rPr>
        <w:t>Zero open-market sales since Q1 earnings. All transactions are discretionary open-market purchases. The cluster of buying — particularly Director Pagliuca's ~$25.6M two-day purchase in early June and CEO Chidsey's $2.4M purchase at the post-earnings trough — is a strong insider conviction signal. No 10b5-1 plan sales have been filed.</w:t>
      </w:r>
    </w:p>
    <w:p>
      <w:r>
        <w:rPr>
          <w:rFonts w:ascii="Calibri" w:hAnsi="Calibri"/>
          <w:i/>
          <w:color w:val="525866"/>
          <w:sz w:val="22"/>
        </w:rPr>
        <w:t>Source: SEC Form 4 Filings (Insider Transaction Data, SEC EDGAR).</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