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xpi-earnings-predictions--2026-07-28"/>
    <w:p>
      <w:pPr>
        <w:pStyle w:val="Heading1"/>
      </w:pPr>
      <w:r>
        <w:t xml:space="preserve">NXPI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~$3.47B vs. cons $3.45B (+0.6%, within guide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~$3.62 vs. cons $3.54 (~+2.3%)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Non-GAAP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~58.2% vs. cons 58.0%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3.60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3.57B (Q3'26, up sequentially confirming 2H accel)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Non-GAAP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3.74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3.73 (Q3'26)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Non-GAAP Gross Margin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~58.5% vs. cons ~58.5% (Q3'26, utilization mid-80s in 2H)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Data-center revenue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550</m:t>
              </m:r>
              <m:r>
                <m:t>M</m:t>
              </m:r>
              <m:r>
                <m:rPr>
                  <m:sty m:val="p"/>
                </m:rPr>
                <m:t>+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rPr>
                  <m:sty m:val="p"/>
                </m:rPr>
                <m:t>&gt;</m:t>
              </m:r>
            </m:oMath>
            <w:r>
              <w:t xml:space="preserve">500M (FY2026, control-plane ramp)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Stock derisked ~19% off the May high into the print, so a modest EPS beat plus an up-sequential Q3 guide and stronger data-center/2H narrative drives an initial relief pop (+~3% day 1). But out-period math is the drag: with the guide already known and Street EPS fractionally above it, a Q3 guide only slightly ahead implies limited upward FY revisions, and any conservatism on the un-guided 2H means implicit estimate trims. Combined with the sector-wide beat-and-fade pattern set by TXN and STM (both sold off on elevated expectations/valuation), the gain partially gives back over 5 days as sell-side digests the conservative out-period framing.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2026-07-28T01:11:02Z</dcterms:created>
  <dcterms:modified xsi:type="dcterms:W3CDTF">2026-07-28T01:11:02Z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