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NXPI before writing the preview. Let me gather recent earnings materials, news, and price data.Let me read the latest earnings materials and get recent news.Let me get peer read-through (TXN, STM reported just before NXPI) and sector context.I have what I need. Let me write the preview.</w:t>
      </w:r>
    </w:p>
    <w:bookmarkStart w:id="15" w:name="Xa14a8e3d3179eedcabae5e60d1855d2b3d083d3"/>
    <w:p>
      <w:pPr>
        <w:pStyle w:val="Heading1"/>
      </w:pPr>
      <w:r>
        <w:t xml:space="preserve">NXP Semiconductors (NXPI) — Q2 2026 Earnings Preview</w:t>
      </w:r>
    </w:p>
    <w:p>
      <w:pPr>
        <w:pStyle w:val="FirstParagraph"/>
      </w:pPr>
      <w:r>
        <w:rPr>
          <w:b/>
          <w:bCs/>
        </w:rPr>
        <w:t xml:space="preserve">Report date:</w:t>
      </w:r>
      <w:r>
        <w:t xml:space="preserve"> </w:t>
      </w:r>
      <w:r>
        <w:t xml:space="preserve">After the close, Tuesday, July 28, 2026 (2026Q2 earnings call)</w:t>
      </w:r>
      <w:r>
        <w:t xml:space="preserve"> </w:t>
      </w:r>
      <w:r>
        <w:rPr>
          <w:b/>
          <w:bCs/>
        </w:rPr>
        <w:t xml:space="preserve">Last price (7/27/26):</w:t>
      </w:r>
      <w:r>
        <w:t xml:space="preserve"> </w:t>
      </w:r>
      <w:r>
        <w:t xml:space="preserve">~</w:t>
      </w:r>
      <m:oMath>
        <m:r>
          <m:t>267.71</m:t>
        </m:r>
        <m:r>
          <m:rPr>
            <m:sty m:val="p"/>
          </m:rPr>
          <m:t>|</m:t>
        </m:r>
        <m:r>
          <m:rPr>
            <m:sty m:val="p"/>
          </m:rPr>
          <m:t>*</m:t>
        </m:r>
        <m:r>
          <m:rPr>
            <m:sty m:val="p"/>
          </m:rPr>
          <m:t>*</m:t>
        </m:r>
        <m:r>
          <m:t>Q</m:t>
        </m:r>
        <m:sSup>
          <m:e>
            <m:r>
              <m:t>1</m:t>
            </m:r>
          </m:e>
          <m:sup>
            <m:r>
              <m:rPr>
                <m:sty m:val="p"/>
              </m:rPr>
              <m:t>′</m:t>
            </m:r>
          </m:sup>
        </m:sSup>
        <m:r>
          <m:t>26</m:t>
        </m:r>
        <m:r>
          <m:t>r</m:t>
        </m:r>
        <m:r>
          <m:t>e</m:t>
        </m:r>
        <m:r>
          <m:t>a</m:t>
        </m:r>
        <m:r>
          <m:t>c</m:t>
        </m:r>
        <m:r>
          <m:t>t</m:t>
        </m:r>
        <m:r>
          <m:t>i</m:t>
        </m:r>
        <m:r>
          <m:t>o</m:t>
        </m:r>
        <m:r>
          <m:t>n</m:t>
        </m:r>
        <m:r>
          <m:rPr>
            <m:sty m:val="p"/>
          </m:rPr>
          <m:t>:</m:t>
        </m:r>
        <m:r>
          <m:rPr>
            <m:sty m:val="p"/>
          </m:rPr>
          <m:t>*</m:t>
        </m:r>
        <m:r>
          <m:rPr>
            <m:sty m:val="p"/>
          </m:rPr>
          <m:t>*</m:t>
        </m:r>
        <m:r>
          <m:rPr>
            <m:sty m:val="p"/>
          </m:rPr>
          <m:t>+</m:t>
        </m:r>
        <m:r>
          <m:t>25</m:t>
        </m:r>
      </m:oMath>
      <w:r>
        <w:t xml:space="preserve">333)**</w:t>
      </w:r>
    </w:p>
    <w:p>
      <w:r>
        <w:pict>
          <v:rect style="width:0;height:1.5pt" o:hralign="center" o:hrstd="t" o:hr="t"/>
        </w:pict>
      </w:r>
    </w:p>
    <w:bookmarkStart w:id="9" w:name="the-one-line-setup"/>
    <w:p>
      <w:pPr>
        <w:pStyle w:val="Heading2"/>
      </w:pPr>
      <w:r>
        <w:t xml:space="preserve">The one-line setup</w:t>
      </w:r>
    </w:p>
    <w:p>
      <w:pPr>
        <w:pStyle w:val="FirstParagraph"/>
      </w:pPr>
      <w:r>
        <w:t xml:space="preserve">NXP heads into the print with</w:t>
      </w:r>
      <w:r>
        <w:t xml:space="preserve"> </w:t>
      </w:r>
      <w:r>
        <w:rPr>
          <w:b/>
          <w:bCs/>
        </w:rPr>
        <w:t xml:space="preserve">improving fundamentals but a high bar and a jittery tape</w:t>
      </w:r>
      <w:r>
        <w:t xml:space="preserve">. Management's own Q2 guide (given April 28) already frames the quarter, so the report is really about</w:t>
      </w:r>
      <w:r>
        <w:t xml:space="preserve"> </w:t>
      </w:r>
      <w:r>
        <w:rPr>
          <w:b/>
          <w:bCs/>
        </w:rPr>
        <w:t xml:space="preserve">(1) whether NXP beats a Street that sits slightly above the guide, and (2) what it signals about second-half acceleration, data-center ramp, and the 2027 targets.</w:t>
      </w:r>
      <w:r>
        <w:t xml:space="preserve"> </w:t>
      </w:r>
      <w:r>
        <w:t xml:space="preserve">The immediate risk is sentiment: peers that</w:t>
      </w:r>
      <w:r>
        <w:t xml:space="preserve"> </w:t>
      </w:r>
      <w:r>
        <w:rPr>
          <w:i/>
          <w:iCs/>
        </w:rPr>
        <w:t xml:space="preserve">beat</w:t>
      </w:r>
      <w:r>
        <w:t xml:space="preserve"> </w:t>
      </w:r>
      <w:r>
        <w:t xml:space="preserve">still sold off this week.</w:t>
      </w:r>
    </w:p>
    <w:p>
      <w:r>
        <w:pict>
          <v:rect style="width:0;height:1.5pt" o:hralign="center" o:hrstd="t" o:hr="t"/>
        </w:pict>
      </w:r>
    </w:p>
    <w:bookmarkEnd w:id="9"/>
    <w:bookmarkStart w:id="10" w:name="Xe93f6e08fbb4f942c401e9ac188d512b50c9aae"/>
    <w:p>
      <w:pPr>
        <w:pStyle w:val="Heading2"/>
      </w:pPr>
      <w:r>
        <w:t xml:space="preserve">What's already guided vs. what the Street wants</w:t>
      </w:r>
    </w:p>
    <w:p>
      <w:pPr>
        <w:pStyle w:val="FirstParagraph"/>
      </w:pPr>
      <w:r>
        <w:t xml:space="preserve">On the Q1 call, management guided Q2 to:</w:t>
      </w:r>
    </w:p>
    <w:p>
      <w:pPr>
        <w:pStyle w:val="Compact"/>
        <w:numPr>
          <w:ilvl w:val="0"/>
          <w:numId w:val="1001"/>
        </w:numPr>
      </w:pPr>
      <w:r>
        <w:rPr>
          <w:b/>
          <w:bCs/>
        </w:rPr>
        <w:t xml:space="preserve">Revenue ~</w:t>
      </w:r>
      <m:oMath>
        <m:r>
          <m:t>3.45</m:t>
        </m:r>
        <m:r>
          <m:t>B</m:t>
        </m:r>
        <m:r>
          <m:rPr>
            <m:sty m:val="p"/>
          </m:rPr>
          <m:t>(</m:t>
        </m:r>
        <m:r>
          <m:rPr>
            <m:sty m:val="p"/>
          </m:rPr>
          <m:t>±</m:t>
        </m:r>
      </m:oMath>
      <w:r>
        <w:rPr>
          <w:b/>
          <w:bCs/>
        </w:rPr>
        <w:t xml:space="preserve">100M): +18% YoY, +8% QoQ</w:t>
      </w:r>
    </w:p>
    <w:p>
      <w:pPr>
        <w:pStyle w:val="Compact"/>
        <w:numPr>
          <w:ilvl w:val="0"/>
          <w:numId w:val="1001"/>
        </w:numPr>
      </w:pPr>
      <w:r>
        <w:rPr>
          <w:b/>
          <w:bCs/>
        </w:rPr>
        <w:t xml:space="preserve">Non-GAAP gross margin 58% (±50bps)</w:t>
      </w:r>
      <w:r>
        <w:t xml:space="preserve"> </w:t>
      </w:r>
      <w:r>
        <w:t xml:space="preserve">— up 150bps YoY, up 90bps QoQ</w:t>
      </w:r>
    </w:p>
    <w:p>
      <w:pPr>
        <w:pStyle w:val="Compact"/>
        <w:numPr>
          <w:ilvl w:val="0"/>
          <w:numId w:val="1001"/>
        </w:numPr>
      </w:pPr>
      <w:r>
        <w:rPr>
          <w:b/>
          <w:bCs/>
        </w:rPr>
        <w:t xml:space="preserve">Opex ~$800M</w:t>
      </w:r>
      <w:r>
        <w:t xml:space="preserve"> </w:t>
      </w:r>
      <w:r>
        <w:t xml:space="preserve">(includes a $17M annual RFID licensing fee + merit increases)</w:t>
      </w:r>
    </w:p>
    <w:p>
      <w:pPr>
        <w:pStyle w:val="Compact"/>
        <w:numPr>
          <w:ilvl w:val="0"/>
          <w:numId w:val="1001"/>
        </w:numPr>
      </w:pPr>
      <w:r>
        <w:rPr>
          <w:b/>
          <w:bCs/>
        </w:rPr>
        <w:t xml:space="preserve">Non-GAAP operating margin ~34.7%</w:t>
      </w:r>
    </w:p>
    <w:p>
      <w:pPr>
        <w:pStyle w:val="Compact"/>
        <w:numPr>
          <w:ilvl w:val="0"/>
          <w:numId w:val="1001"/>
        </w:numPr>
      </w:pPr>
      <w:r>
        <w:t xml:space="preserve">**Non-GAAP EPS ~</w:t>
      </w:r>
      <m:oMath>
        <m:r>
          <m:t>3.50</m:t>
        </m:r>
        <m:r>
          <m:t>a</m:t>
        </m:r>
        <m:r>
          <m:t>t</m:t>
        </m:r>
        <m:r>
          <m:t>t</m:t>
        </m:r>
        <m:r>
          <m:t>h</m:t>
        </m:r>
        <m:r>
          <m:t>e</m:t>
        </m:r>
        <m:r>
          <m:t>m</m:t>
        </m:r>
        <m:r>
          <m:t>i</m:t>
        </m:r>
        <m:r>
          <m:t>d</m:t>
        </m:r>
        <m:r>
          <m:t>p</m:t>
        </m:r>
        <m:r>
          <m:t>o</m:t>
        </m:r>
        <m:r>
          <m:t>i</m:t>
        </m:r>
        <m:r>
          <m:t>n</m:t>
        </m:r>
        <m:r>
          <m:t>t</m:t>
        </m:r>
        <m:r>
          <m:rPr>
            <m:sty m:val="p"/>
          </m:rPr>
          <m:t>*</m:t>
        </m:r>
        <m:r>
          <m:rPr>
            <m:sty m:val="p"/>
          </m:rPr>
          <m:t>*</m:t>
        </m:r>
        <m:r>
          <m:rPr>
            <m:sty m:val="p"/>
          </m:rPr>
          <m:t>(</m:t>
        </m:r>
        <m:r>
          <m:t>18</m:t>
        </m:r>
      </m:oMath>
      <w:r>
        <w:t xml:space="preserve">92M financial expense)</w:t>
      </w:r>
    </w:p>
    <w:p>
      <w:pPr>
        <w:pStyle w:val="FirstParagraph"/>
      </w:pPr>
      <w:r>
        <w:t xml:space="preserve">Consensus is fractionally</w:t>
      </w:r>
      <w:r>
        <w:t xml:space="preserve"> </w:t>
      </w:r>
      <w:r>
        <w:rPr>
          <w:b/>
          <w:bCs/>
        </w:rPr>
        <w:t xml:space="preserve">above</w:t>
      </w:r>
      <w:r>
        <w:t xml:space="preserve"> </w:t>
      </w:r>
      <w:r>
        <w:t xml:space="preserve">the guide: the Street is modeling</w:t>
      </w:r>
      <w:r>
        <w:t xml:space="preserve"> </w:t>
      </w:r>
      <w:r>
        <w:rPr>
          <w:b/>
          <w:bCs/>
        </w:rPr>
        <w:t xml:space="preserve">EPS ~</w:t>
      </w:r>
      <m:oMath>
        <m:r>
          <m:t>3.54</m:t>
        </m:r>
        <m:r>
          <m:rPr>
            <m:sty m:val="p"/>
          </m:rPr>
          <m:t>,</m:t>
        </m:r>
        <m:r>
          <m:t>r</m:t>
        </m:r>
        <m:r>
          <m:t>e</m:t>
        </m:r>
        <m:r>
          <m:t>v</m:t>
        </m:r>
        <m:r>
          <m:t>e</m:t>
        </m:r>
        <m:r>
          <m:t>n</m:t>
        </m:r>
        <m:r>
          <m:t>u</m:t>
        </m:r>
        <m:r>
          <m:t>e</m:t>
        </m:r>
        <m:r>
          <m:t> </m:t>
        </m:r>
      </m:oMath>
      <w:r>
        <w:rPr>
          <w:b/>
          <w:bCs/>
        </w:rPr>
        <w:t xml:space="preserve">3.45B (+18%), and 58% gross margin</w:t>
      </w:r>
      <w:r>
        <w:t xml:space="preserve">. Translation: an in-line revenue print with a small EPS beat is essentially "priced," so the market's attention shifts to Q3 guidance and the qualitative narrative.</w:t>
      </w:r>
    </w:p>
    <w:p>
      <w:pPr>
        <w:pStyle w:val="BodyText"/>
      </w:pPr>
      <w:r>
        <w:rPr>
          <w:b/>
          <w:bCs/>
        </w:rPr>
        <w:t xml:space="preserve">Guided segment trajectory for Q2 (YoY / QoQ):</w:t>
      </w:r>
      <w:r>
        <w:t xml:space="preserve"> </w:t>
      </w:r>
      <w:r>
        <w:t xml:space="preserve">| Segment | YoY | QoQ | Notes |</w:t>
      </w:r>
      <w:r>
        <w:t xml:space="preserve"> </w:t>
      </w:r>
      <w:r>
        <w:t xml:space="preserve">|---|---|---|---|</w:t>
      </w:r>
      <w:r>
        <w:t xml:space="preserve"> </w:t>
      </w:r>
      <w:r>
        <w:t xml:space="preserve">| Automotive | low-double-digit % | high-single-digit % | ~high-teens YoY / +10% QoQ ex-MEMS sale |</w:t>
      </w:r>
      <w:r>
        <w:t xml:space="preserve"> </w:t>
      </w:r>
      <w:r>
        <w:t xml:space="preserve">| Industrial &amp; IoT | ~high-30s % | high-teens % | continuing Q1's acceleration |</w:t>
      </w:r>
      <w:r>
        <w:t xml:space="preserve"> </w:t>
      </w:r>
      <w:r>
        <w:t xml:space="preserve">| Mobile | low-single-digit % |</w:t>
      </w:r>
      <w:r>
        <w:t xml:space="preserve"> </w:t>
      </w:r>
      <w:r>
        <w:rPr>
          <w:b/>
          <w:bCs/>
        </w:rPr>
        <w:t xml:space="preserve">down low-double-digit %</w:t>
      </w:r>
      <w:r>
        <w:t xml:space="preserve"> </w:t>
      </w:r>
      <w:r>
        <w:t xml:space="preserve">| seasonal step-down |</w:t>
      </w:r>
      <w:r>
        <w:t xml:space="preserve"> </w:t>
      </w:r>
      <w:r>
        <w:t xml:space="preserve">| Comms Infra &amp; Other | ~mid-30s % | mid-teens % | secure cards + RFID + digital networking |</w:t>
      </w:r>
    </w:p>
    <w:p>
      <w:r>
        <w:pict>
          <v:rect style="width:0;height:1.5pt" o:hralign="center" o:hrstd="t" o:hr="t"/>
        </w:pict>
      </w:r>
    </w:p>
    <w:bookmarkEnd w:id="10"/>
    <w:bookmarkStart w:id="11" w:name="X968131667ec995e8aa45315b703bf3d1bfd2716"/>
    <w:p>
      <w:pPr>
        <w:pStyle w:val="Heading2"/>
      </w:pPr>
      <w:r>
        <w:t xml:space="preserve">The five things that will actually move the stock</w:t>
      </w:r>
    </w:p>
    <w:p>
      <w:pPr>
        <w:pStyle w:val="FirstParagraph"/>
      </w:pPr>
      <w:r>
        <w:rPr>
          <w:b/>
          <w:bCs/>
        </w:rPr>
        <w:t xml:space="preserve">1. Q3 guidance / confirmation of second-half acceleration.</w:t>
      </w:r>
      <w:r>
        <w:t xml:space="preserve"> </w:t>
      </w:r>
      <w:r>
        <w:t xml:space="preserve">CEO Rafael Sotomayor repeatedly teased that "the remainder of 2026 is set up to be stronger than we anticipated 90 days ago," pointing to a strengthening direct order book and improving distribution backlog — but explicitly declined to guide the second half. First-half revenue implies ~15% YoY growth (~18% ex-MEMS). The bull case needs Q3 to guide</w:t>
      </w:r>
      <w:r>
        <w:t xml:space="preserve"> </w:t>
      </w:r>
      <w:r>
        <w:rPr>
          <w:i/>
          <w:iCs/>
        </w:rPr>
        <w:t xml:space="preserve">up sequentially</w:t>
      </w:r>
      <w:r>
        <w:t xml:space="preserve"> </w:t>
      </w:r>
      <w:r>
        <w:t xml:space="preserve">and confirm the back-half ramp is real rather than a pull-forward.</w:t>
      </w:r>
    </w:p>
    <w:p>
      <w:pPr>
        <w:pStyle w:val="BodyText"/>
      </w:pPr>
      <w:r>
        <w:rPr>
          <w:b/>
          <w:bCs/>
        </w:rPr>
        <w:t xml:space="preserve">2. The new data-center disclosure.</w:t>
      </w:r>
      <w:r>
        <w:t xml:space="preserve"> </w:t>
      </w:r>
      <w:r>
        <w:t xml:space="preserve">Q1 introduced a fresh narrative: NXP quantified</w:t>
      </w:r>
      <w:r>
        <w:t xml:space="preserve"> </w:t>
      </w:r>
      <w:r>
        <w:rPr>
          <w:b/>
          <w:bCs/>
        </w:rPr>
        <w:t xml:space="preserve">~$200M of data-center revenue in 2025</w:t>
      </w:r>
      <w:r>
        <w:t xml:space="preserve"> </w:t>
      </w:r>
      <w:r>
        <w:t xml:space="preserve">and guided it to</w:t>
      </w:r>
      <w:r>
        <w:t xml:space="preserve"> </w:t>
      </w:r>
      <w:r>
        <w:rPr>
          <w:b/>
          <w:bCs/>
        </w:rPr>
        <w:t xml:space="preserve">north of $500M in 2026</w:t>
      </w:r>
      <w:r>
        <w:t xml:space="preserve"> </w:t>
      </w:r>
      <w:r>
        <w:t xml:space="preserve">(more than doubling), split roughly evenly between Industrial &amp; IoT and Comms Infra. Importantly, this is</w:t>
      </w:r>
      <w:r>
        <w:t xml:space="preserve"> </w:t>
      </w:r>
      <w:r>
        <w:rPr>
          <w:b/>
          <w:bCs/>
        </w:rPr>
        <w:t xml:space="preserve">control-plane, not data-plane</w:t>
      </w:r>
      <w:r>
        <w:t xml:space="preserve"> </w:t>
      </w:r>
      <w:r>
        <w:t xml:space="preserve">exposure — Layerscape networking processors, i.MX for board management, MCUs for cooling/root-of-trust — with ~20–25 products and higher-ASP networking/i.MX at the core. Watch for an updated run-rate and any new design wins; this is the segment most likely to re-rate the multiple, and it's the segment most sensitive to the "AI capex return" scrutiny hitting the group.</w:t>
      </w:r>
    </w:p>
    <w:p>
      <w:pPr>
        <w:pStyle w:val="BodyText"/>
      </w:pPr>
      <w:r>
        <w:rPr>
          <w:b/>
          <w:bCs/>
        </w:rPr>
        <w:t xml:space="preserve">3. Automotive content story vs. SAAR/China noise.</w:t>
      </w:r>
      <w:r>
        <w:t xml:space="preserve"> </w:t>
      </w:r>
      <w:r>
        <w:t xml:space="preserve">Management's central thesis:</w:t>
      </w:r>
      <w:r>
        <w:t xml:space="preserve"> </w:t>
      </w:r>
      <w:r>
        <w:rPr>
          <w:b/>
          <w:bCs/>
        </w:rPr>
        <w:t xml:space="preserve">content growth (architecture transition to zonal/central compute, SDV, radar, connectivity) overwhelms unit/SAAR volatility.</w:t>
      </w:r>
      <w:r>
        <w:t xml:space="preserve"> </w:t>
      </w:r>
      <w:r>
        <w:t xml:space="preserve">Auto grew ~10% YoY ex-MEMS in Q1, with accelerated growth drivers ~45% of auto revenue (heading toward ~50% by year-end) and contributing ~90% of growth. Key programs:</w:t>
      </w:r>
      <w:r>
        <w:t xml:space="preserve"> </w:t>
      </w:r>
      <w:r>
        <w:rPr>
          <w:b/>
          <w:bCs/>
        </w:rPr>
        <w:t xml:space="preserve">S32N, S32K5, imaging radar, 10Gb automotive Ethernet, and the S32 CoreRide zonal reference design (sampling in Q3).</w:t>
      </w:r>
      <w:r>
        <w:t xml:space="preserve"> </w:t>
      </w:r>
      <w:r>
        <w:t xml:space="preserve">China grew YoY despite weak domestic production. Any wobble in the "content beats units" story would hurt.</w:t>
      </w:r>
    </w:p>
    <w:p>
      <w:pPr>
        <w:pStyle w:val="BodyText"/>
      </w:pPr>
      <w:r>
        <w:rPr>
          <w:b/>
          <w:bCs/>
        </w:rPr>
        <w:t xml:space="preserve">4. Gross margin path to 60%+.</w:t>
      </w:r>
      <w:r>
        <w:t xml:space="preserve"> </w:t>
      </w:r>
      <w:r>
        <w:t xml:space="preserve">58% guided for Q2, with front-end utilization moving from</w:t>
      </w:r>
      <w:r>
        <w:t xml:space="preserve"> </w:t>
      </w:r>
      <w:r>
        <w:rPr>
          <w:b/>
          <w:bCs/>
        </w:rPr>
        <w:t xml:space="preserve">low-80s in 1H to mid-80s in 2H</w:t>
      </w:r>
      <w:r>
        <w:t xml:space="preserve">. Longer term, the</w:t>
      </w:r>
      <w:r>
        <w:t xml:space="preserve"> </w:t>
      </w:r>
      <w:r>
        <w:rPr>
          <w:b/>
          <w:bCs/>
        </w:rPr>
        <w:t xml:space="preserve">VSMC (Singapore) JV is expected to add ~200bps of structural gross margin once fully ramped in 2028</w:t>
      </w:r>
      <w:r>
        <w:t xml:space="preserve">; NXP is ~67% through the VSMC investment cycle, ~30% through ESMC. Watch mix, utilization, and any read on how quickly the 200bps flows through.</w:t>
      </w:r>
    </w:p>
    <w:p>
      <w:pPr>
        <w:pStyle w:val="BodyText"/>
      </w:pPr>
      <w:r>
        <w:rPr>
          <w:b/>
          <w:bCs/>
        </w:rPr>
        <w:t xml:space="preserve">5. Pricing and input-cost inflation.</w:t>
      </w:r>
      <w:r>
        <w:t xml:space="preserve"> </w:t>
      </w:r>
      <w:r>
        <w:t xml:space="preserve">NXP flagged rising input costs and is taking</w:t>
      </w:r>
      <w:r>
        <w:t xml:space="preserve"> </w:t>
      </w:r>
      <w:r>
        <w:rPr>
          <w:b/>
          <w:bCs/>
        </w:rPr>
        <w:t xml:space="preserve">selective price increases</w:t>
      </w:r>
      <w:r>
        <w:t xml:space="preserve">, though the Q2 impact was called "immaterial." This is now a sector-wide theme — STM's miss this week was partly about margins/costs. Any move to broader, more material pricing (a potential upside lever) or, conversely, unmitigated cost pressure, matters for the margin narrative.</w:t>
      </w:r>
    </w:p>
    <w:p>
      <w:pPr>
        <w:pStyle w:val="BodyText"/>
      </w:pPr>
      <w:r>
        <w:rPr>
          <w:b/>
          <w:bCs/>
        </w:rPr>
        <w:t xml:space="preserve">Also worth monitoring:</w:t>
      </w:r>
      <w:r>
        <w:t xml:space="preserve"> </w:t>
      </w:r>
      <w:r>
        <w:t xml:space="preserve">channel inventory (held at the ~11-week long-term target; Q2 guide assumes it stays flat), memory-shortage effects on customers (a "supply not price" issue so far, no order impact yet), M&amp;A integration (</w:t>
      </w:r>
      <w:r>
        <w:rPr>
          <w:b/>
          <w:bCs/>
        </w:rPr>
        <w:t xml:space="preserve">Kinara</w:t>
      </w:r>
      <w:r>
        <w:t xml:space="preserve"> </w:t>
      </w:r>
      <w:r>
        <w:t xml:space="preserve">edge-AI with a &gt;$1B sales funnel,</w:t>
      </w:r>
      <w:r>
        <w:t xml:space="preserve"> </w:t>
      </w:r>
      <w:r>
        <w:rPr>
          <w:b/>
          <w:bCs/>
        </w:rPr>
        <w:t xml:space="preserve">Aviva Links</w:t>
      </w:r>
      <w:r>
        <w:t xml:space="preserve"> </w:t>
      </w:r>
      <w:r>
        <w:t xml:space="preserve">SerDes,</w:t>
      </w:r>
      <w:r>
        <w:t xml:space="preserve"> </w:t>
      </w:r>
      <w:r>
        <w:rPr>
          <w:b/>
          <w:bCs/>
        </w:rPr>
        <w:t xml:space="preserve">TTTech</w:t>
      </w:r>
      <w:r>
        <w:t xml:space="preserve">), and reaffirmation of the</w:t>
      </w:r>
      <w:r>
        <w:t xml:space="preserve"> </w:t>
      </w:r>
      <w:r>
        <w:rPr>
          <w:b/>
          <w:bCs/>
        </w:rPr>
        <w:t xml:space="preserve">2027 Analyst Day targets</w:t>
      </w:r>
      <w:r>
        <w:t xml:space="preserve"> </w:t>
      </w:r>
      <w:r>
        <w:t xml:space="preserve">(6–10% long-term growth implying double-digit growth in both 2026 and 2027, gross margin toward 60%+).</w:t>
      </w:r>
    </w:p>
    <w:p>
      <w:r>
        <w:pict>
          <v:rect style="width:0;height:1.5pt" o:hralign="center" o:hrstd="t" o:hr="t"/>
        </w:pict>
      </w:r>
    </w:p>
    <w:bookmarkEnd w:id="11"/>
    <w:bookmarkStart w:id="12" w:name="Xbb1768a2bbcccdf02120ff2f1d7efee6ec2732f"/>
    <w:p>
      <w:pPr>
        <w:pStyle w:val="Heading2"/>
      </w:pPr>
      <w:r>
        <w:t xml:space="preserve">The sentiment problem: read-through from peers this week</w:t>
      </w:r>
    </w:p>
    <w:p>
      <w:pPr>
        <w:pStyle w:val="FirstParagraph"/>
      </w:pPr>
      <w:r>
        <w:t xml:space="preserve">The tape is the biggest near-term risk. Just before NXP reports, its closest analog peers set an ominous "beat-and-fade" pattern:</w:t>
      </w:r>
    </w:p>
    <w:p>
      <w:pPr>
        <w:pStyle w:val="Compact"/>
        <w:numPr>
          <w:ilvl w:val="0"/>
          <w:numId w:val="1002"/>
        </w:numPr>
      </w:pPr>
      <w:r>
        <w:rPr>
          <w:b/>
          <w:bCs/>
        </w:rPr>
        <w:t xml:space="preserve">Texas Instruments (7/22):</w:t>
      </w:r>
      <w:r>
        <w:t xml:space="preserve"> </w:t>
      </w:r>
      <w:r>
        <w:t xml:space="preserve">big beat —</w:t>
      </w:r>
      <w:r>
        <w:t xml:space="preserve"> </w:t>
      </w:r>
      <w:r>
        <w:t xml:space="preserve">Q2 EPS of $2.14 headline and $2.09 ex-items, beating the Street consensus of $1.93, driven by sales of $5.46B (up 23%)</w:t>
      </w:r>
      <w:r>
        <w:t xml:space="preserve"> </w:t>
      </w:r>
      <w:r>
        <w:t xml:space="preserve">— and strong Q3 guidance, yet</w:t>
      </w:r>
      <w:r>
        <w:t xml:space="preserve"> </w:t>
      </w:r>
      <w:r>
        <w:t xml:space="preserve">the stock dropped 3.4% in after-hours trading. The reaction may reflect investors' elevated expectations following a historic run for the sector.</w:t>
      </w:r>
      <w:r>
        <w:t xml:space="preserve"> </w:t>
      </w:r>
      <w:r>
        <w:t xml:space="preserve">More broadly,</w:t>
      </w:r>
      <w:r>
        <w:t xml:space="preserve"> </w:t>
      </w:r>
      <w:r>
        <w:t xml:space="preserve">Texas Instruments posted a strong earnings beat, though the stock sold off despite the positive result, reflecting broader market dynamics where investors are reassessing returns on technology sector capital expenditures.</w:t>
      </w:r>
    </w:p>
    <w:p>
      <w:pPr>
        <w:pStyle w:val="Compact"/>
        <w:numPr>
          <w:ilvl w:val="0"/>
          <w:numId w:val="1002"/>
        </w:numPr>
      </w:pPr>
      <w:r>
        <w:rPr>
          <w:b/>
          <w:bCs/>
        </w:rPr>
        <w:t xml:space="preserve">STMicroelectronics (7/23):</w:t>
      </w:r>
      <w:r>
        <w:t xml:space="preserve"> </w:t>
      </w:r>
      <w:r>
        <w:t xml:space="preserve">shares plunged as much as 15%, marking the steepest decline in a year, after the company's third quarter sales forecast missed expectations. Management indicated that revenue growth will accelerate in the fourth quarter as more chip orders arrive, but analysts noted that elevated expectations meant the company needed additional momentum, and the forecast miss is what weighed on the share price.</w:t>
      </w:r>
    </w:p>
    <w:p>
      <w:pPr>
        <w:pStyle w:val="FirstParagraph"/>
      </w:pPr>
      <w:r>
        <w:t xml:space="preserve">The lesson: after a huge run,</w:t>
      </w:r>
      <w:r>
        <w:t xml:space="preserve"> </w:t>
      </w:r>
      <w:r>
        <w:rPr>
          <w:b/>
          <w:bCs/>
        </w:rPr>
        <w:t xml:space="preserve">guidance quality &gt; headline beat</w:t>
      </w:r>
      <w:r>
        <w:t xml:space="preserve">. NXP shares themselves have already softened ~$10 off the mid-July level into the print, tracking peers lower.</w:t>
      </w:r>
    </w:p>
    <w:p>
      <w:r>
        <w:pict>
          <v:rect style="width:0;height:1.5pt" o:hralign="center" o:hrstd="t" o:hr="t"/>
        </w:pict>
      </w:r>
    </w:p>
    <w:bookmarkEnd w:id="12"/>
    <w:bookmarkStart w:id="13" w:name="positioning--valuation-context"/>
    <w:p>
      <w:pPr>
        <w:pStyle w:val="Heading2"/>
      </w:pPr>
      <w:r>
        <w:t xml:space="preserve">Positioning / valuation context</w:t>
      </w:r>
    </w:p>
    <w:p>
      <w:pPr>
        <w:pStyle w:val="Compact"/>
        <w:numPr>
          <w:ilvl w:val="0"/>
          <w:numId w:val="1003"/>
        </w:numPr>
      </w:pPr>
      <w:r>
        <w:t xml:space="preserve">NXPI is up ~23% YTD in 2026 and re-rated hard after Q1 (a **~25% single-session jump** post-earnings in late April), before giving back roughly a fifth of the gains from the late-May high (~</w:t>
      </w:r>
      <m:oMath>
        <m:r>
          <m:t>333</m:t>
        </m:r>
        <m:r>
          <m:rPr>
            <m:sty m:val="p"/>
          </m:rPr>
          <m:t>)</m:t>
        </m:r>
        <m:r>
          <m:t>i</m:t>
        </m:r>
        <m:r>
          <m:t>n</m:t>
        </m:r>
        <m:r>
          <m:t>t</m:t>
        </m:r>
        <m:r>
          <m:t>o</m:t>
        </m:r>
        <m:r>
          <m:t>t</m:t>
        </m:r>
        <m:r>
          <m:t>h</m:t>
        </m:r>
        <m:r>
          <m:t>e</m:t>
        </m:r>
        <m:r>
          <m:t>c</m:t>
        </m:r>
        <m:r>
          <m:t>u</m:t>
        </m:r>
        <m:r>
          <m:t>r</m:t>
        </m:r>
        <m:r>
          <m:t>r</m:t>
        </m:r>
        <m:r>
          <m:t>e</m:t>
        </m:r>
        <m:r>
          <m:t>n</m:t>
        </m:r>
        <m:r>
          <m:t>t</m:t>
        </m:r>
        <m:r>
          <m:t> </m:t>
        </m:r>
      </m:oMath>
      <w:r>
        <w:t xml:space="preserve">268.</w:t>
      </w:r>
    </w:p>
    <w:p>
      <w:pPr>
        <w:pStyle w:val="Compact"/>
        <w:numPr>
          <w:ilvl w:val="0"/>
          <w:numId w:val="1003"/>
        </w:numPr>
      </w:pPr>
      <w:r>
        <w:t xml:space="preserve">Ahead of the report, the sell-side/buy-side lean is bullish, driven by SDV and physical/edge-AI demand tailwinds — which cuts both ways: it supports the story but raises the bar, exactly the dynamic that punished TXN and STM.</w:t>
      </w:r>
    </w:p>
    <w:p>
      <w:r>
        <w:pict>
          <v:rect style="width:0;height:1.5pt" o:hralign="center" o:hrstd="t" o:hr="t"/>
        </w:pict>
      </w:r>
    </w:p>
    <w:bookmarkEnd w:id="13"/>
    <w:bookmarkStart w:id="14" w:name="Xdfff4de1fe89643215cf6226bbdfeda5dfa3234"/>
    <w:p>
      <w:pPr>
        <w:pStyle w:val="Heading2"/>
      </w:pPr>
      <w:r>
        <w:t xml:space="preserve">Bottom line — what to watch for in the reaction</w:t>
      </w:r>
    </w:p>
    <w:p>
      <w:pPr>
        <w:pStyle w:val="Compact"/>
        <w:numPr>
          <w:ilvl w:val="0"/>
          <w:numId w:val="1004"/>
        </w:numPr>
      </w:pPr>
      <w:r>
        <w:rPr>
          <w:b/>
          <w:bCs/>
        </w:rPr>
        <w:t xml:space="preserve">Bull case:</w:t>
      </w:r>
      <w:r>
        <w:t xml:space="preserve"> </w:t>
      </w:r>
      <w:r>
        <w:t xml:space="preserve">revenue at/above the top of the</w:t>
      </w:r>
      <w:r>
        <w:t xml:space="preserve"> </w:t>
      </w:r>
      <m:oMath>
        <m:r>
          <m:t>3.45</m:t>
        </m:r>
        <m:r>
          <m:t>B</m:t>
        </m:r>
        <m:r>
          <m:rPr>
            <m:sty m:val="p"/>
          </m:rPr>
          <m:t>(</m:t>
        </m:r>
        <m:r>
          <m:rPr>
            <m:sty m:val="p"/>
          </m:rPr>
          <m:t>±</m:t>
        </m:r>
      </m:oMath>
      <w:r>
        <w:t xml:space="preserve">100M) range, a</w:t>
      </w:r>
      <w:r>
        <w:t xml:space="preserve"> </w:t>
      </w:r>
      <w:r>
        <w:rPr>
          <w:b/>
          <w:bCs/>
        </w:rPr>
        <w:t xml:space="preserve">Q3 guide up sequentially</w:t>
      </w:r>
      <w:r>
        <w:t xml:space="preserve"> </w:t>
      </w:r>
      <w:r>
        <w:t xml:space="preserve">that confirms 2H acceleration, an</w:t>
      </w:r>
      <w:r>
        <w:t xml:space="preserve"> </w:t>
      </w:r>
      <w:r>
        <w:rPr>
          <w:b/>
          <w:bCs/>
        </w:rPr>
        <w:t xml:space="preserve">upgraded data-center number</w:t>
      </w:r>
      <w:r>
        <w:t xml:space="preserve">, and gross margin at/above 58% with a clear line of sight to 60%+. That validates the "company-specific growth is finally shining through" thesis and the 2027 targets.</w:t>
      </w:r>
    </w:p>
    <w:p>
      <w:pPr>
        <w:pStyle w:val="Compact"/>
        <w:numPr>
          <w:ilvl w:val="0"/>
          <w:numId w:val="1004"/>
        </w:numPr>
      </w:pPr>
      <w:r>
        <w:rPr>
          <w:b/>
          <w:bCs/>
        </w:rPr>
        <w:t xml:space="preserve">Bear/derating case:</w:t>
      </w:r>
      <w:r>
        <w:t xml:space="preserve"> </w:t>
      </w:r>
      <w:r>
        <w:t xml:space="preserve">an in-line quarter with a</w:t>
      </w:r>
      <w:r>
        <w:t xml:space="preserve"> </w:t>
      </w:r>
      <w:r>
        <w:rPr>
          <w:b/>
          <w:bCs/>
        </w:rPr>
        <w:t xml:space="preserve">conservative or merely-seasonal Q3 guide</w:t>
      </w:r>
      <w:r>
        <w:t xml:space="preserve">, any softness in auto/China content, or margin/cost pressure — in which case the peer playbook (beat, then fade on valuation) likely repeats given how much good news is embedded.</w:t>
      </w:r>
    </w:p>
    <w:p>
      <w:pPr>
        <w:pStyle w:val="FirstParagraph"/>
      </w:pPr>
      <w:r>
        <w:t xml:space="preserve">Given the guide is already known,</w:t>
      </w:r>
      <w:r>
        <w:t xml:space="preserve"> </w:t>
      </w:r>
      <w:r>
        <w:rPr>
          <w:b/>
          <w:bCs/>
        </w:rPr>
        <w:t xml:space="preserve">the decisive variable is Q3 commentary and the data-center trajectory — not the Q2 print itself.</w:t>
      </w:r>
    </w:p>
    <w:p>
      <w:pPr>
        <w:pStyle w:val="BodyText"/>
      </w:pPr>
      <w:r>
        <w:rPr>
          <w:i/>
          <w:iCs/>
        </w:rPr>
        <w:t xml:space="preserve">Note: figures for the guided quarter and management commentary are drawn from NXP's Q1 2026 earnings call (April 28, 2026); consensus and peer figures from July 2026 news digests. This is an analytical preview, not investment advice.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2026-07-28T01:11:02Z</dcterms:created>
  <dcterms:modified xsi:type="dcterms:W3CDTF">2026-07-28T01:11:02Z</dcterms:modified>
</cp:coreProperties>
</file>

<file path=docProps/custom.xml><?xml version="1.0" encoding="utf-8"?>
<Properties xmlns="http://schemas.openxmlformats.org/officeDocument/2006/custom-properties" xmlns:vt="http://schemas.openxmlformats.org/officeDocument/2006/docPropsVTypes"/>
</file>