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a14a8e3d3179eedcabae5e60d1855d2b3d083d3"/>
    <w:p>
      <w:pPr>
        <w:pStyle w:val="Heading1"/>
      </w:pPr>
      <w:r>
        <w:t xml:space="preserve">NXP Semiconductors (NXPI) — Q2 2026 Earnings Preview</w:t>
      </w:r>
    </w:p>
    <w:p>
      <w:pPr>
        <w:pStyle w:val="FirstParagraph"/>
      </w:pP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NXP heads into tomorrow's report on a high bar after a Q1 that beat across the board and a Q2 guide that came in well above what management had expected 90 days earlier. Shares have been volatile since: NXPI rallied from ~$195 in early April to a 52-week-plus high near</w:t>
      </w:r>
      <w:r>
        <w:t xml:space="preserve"> </w:t>
      </w:r>
      <m:oMath>
        <m:r>
          <m:t>332</m:t>
        </m:r>
        <m:r>
          <m:t>b</m:t>
        </m:r>
        <m:r>
          <m:t>y</m:t>
        </m:r>
        <m:r>
          <m:t>l</m:t>
        </m:r>
        <m:r>
          <m:t>a</m:t>
        </m:r>
        <m:r>
          <m:t>t</m:t>
        </m:r>
        <m:r>
          <m:t>e</m:t>
        </m:r>
        <m:r>
          <m:t>M</m:t>
        </m:r>
        <m:r>
          <m:t>a</m:t>
        </m:r>
        <m:r>
          <m:t>y</m:t>
        </m:r>
        <m:r>
          <m:rPr>
            <m:sty m:val="p"/>
          </m:rPr>
          <m:t>,</m:t>
        </m:r>
        <m:r>
          <m:t>b</m:t>
        </m:r>
        <m:r>
          <m:t>e</m:t>
        </m:r>
        <m:r>
          <m:t>f</m:t>
        </m:r>
        <m:r>
          <m:t>o</m:t>
        </m:r>
        <m:r>
          <m:t>r</m:t>
        </m:r>
        <m:r>
          <m:t>e</m:t>
        </m:r>
        <m:r>
          <m:t>r</m:t>
        </m:r>
        <m:r>
          <m:t>o</m:t>
        </m:r>
        <m:r>
          <m:t>l</m:t>
        </m:r>
        <m:r>
          <m:t>l</m:t>
        </m:r>
        <m:r>
          <m:t>i</m:t>
        </m:r>
        <m:r>
          <m:t>n</m:t>
        </m:r>
        <m:r>
          <m:t>g</m:t>
        </m:r>
        <m:r>
          <m:t>o</m:t>
        </m:r>
        <m:r>
          <m:t>v</m:t>
        </m:r>
        <m:r>
          <m:t>e</m:t>
        </m:r>
        <m:r>
          <m:t>r</m:t>
        </m:r>
        <m:r>
          <m:t>w</m:t>
        </m:r>
        <m:r>
          <m:t>i</m:t>
        </m:r>
        <m:r>
          <m:t>t</m:t>
        </m:r>
        <m:r>
          <m:t>h</m:t>
        </m:r>
        <m:r>
          <m:t>t</m:t>
        </m:r>
        <m:r>
          <m:t>h</m:t>
        </m:r>
        <m:r>
          <m:t>e</m:t>
        </m:r>
        <m:r>
          <m:t>b</m:t>
        </m:r>
        <m:r>
          <m:t>r</m:t>
        </m:r>
        <m:r>
          <m:t>o</m:t>
        </m:r>
        <m:r>
          <m:t>a</m:t>
        </m:r>
        <m:r>
          <m:t>d</m:t>
        </m:r>
        <m:r>
          <m:t>e</m:t>
        </m:r>
        <m:r>
          <m:t>r</m:t>
        </m:r>
        <m:r>
          <m:t>s</m:t>
        </m:r>
        <m:r>
          <m:t>e</m:t>
        </m:r>
        <m:r>
          <m:t>m</m:t>
        </m:r>
        <m:r>
          <m:t>i</m:t>
        </m:r>
        <m:r>
          <m:t>c</m:t>
        </m:r>
        <m:r>
          <m:t>o</m:t>
        </m:r>
        <m:r>
          <m:t>n</m:t>
        </m:r>
        <m:r>
          <m:t>d</m:t>
        </m:r>
        <m:r>
          <m:t>u</m:t>
        </m:r>
        <m:r>
          <m:t>c</m:t>
        </m:r>
        <m:r>
          <m:t>t</m:t>
        </m:r>
        <m:r>
          <m:t>o</m:t>
        </m:r>
        <m:r>
          <m:t>r</m:t>
        </m:r>
        <m:r>
          <m:t>c</m:t>
        </m:r>
        <m:r>
          <m:t>o</m:t>
        </m:r>
        <m:r>
          <m:t>m</m:t>
        </m:r>
        <m:r>
          <m:t>p</m:t>
        </m:r>
        <m:r>
          <m:t>l</m:t>
        </m:r>
        <m:r>
          <m:t>e</m:t>
        </m:r>
        <m:r>
          <m:t>x</m:t>
        </m:r>
        <m:r>
          <m:t>t</m:t>
        </m:r>
        <m:r>
          <m:t>o</m:t>
        </m:r>
        <m:r>
          <m:t>t</m:t>
        </m:r>
        <m:r>
          <m:t>r</m:t>
        </m:r>
        <m:r>
          <m:t>a</m:t>
        </m:r>
        <m:r>
          <m:t>d</m:t>
        </m:r>
        <m:r>
          <m:t>e</m:t>
        </m:r>
        <m:r>
          <m:t>a</m:t>
        </m:r>
        <m:r>
          <m:t>r</m:t>
        </m:r>
        <m:r>
          <m:t>o</m:t>
        </m:r>
        <m:r>
          <m:t>u</m:t>
        </m:r>
        <m:r>
          <m:t>n</m:t>
        </m:r>
        <m:r>
          <m:t>d</m:t>
        </m:r>
        <m:r>
          <m:rPr>
            <m:sty m:val="p"/>
          </m:rPr>
          <m:t>*</m:t>
        </m:r>
        <m:r>
          <m:rPr>
            <m:sty m:val="p"/>
          </m:rPr>
          <m:t>*</m:t>
        </m:r>
      </m:oMath>
      <w:r>
        <w:t xml:space="preserve">267-270** heading into the print — still up meaningfully year-to-date but roughly 20% off its highs.</w:t>
      </w:r>
    </w:p>
    <w:p>
      <w:pPr>
        <w:pStyle w:val="BodyText"/>
      </w:pPr>
      <w:r>
        <w:t xml:space="preserve">The pullback looks more macro/sector-driven than company-specific. Semiconductor stocks are down 15.4% on average over the last month as investors have rotated through worries about AI capex returns, memory pricing, and geopolitics. Notably, peers that just reported strong beats still sold off: Texas Instruments delivered year-on-year revenue growth of 22.8%, beating expectations by 3.8%, and Intel reported revenue up 25.4%, topping estimates by 11.7%, yet TI traded down 3.6% and Intel fell 12.2% following results. That "good-number-bad-reaction" dynamic is an important backdrop for how NXPI may trade post-print even if it beats.</w:t>
      </w:r>
    </w:p>
    <w:bookmarkEnd w:id="9"/>
    <w:bookmarkStart w:id="10" w:name="Xe24fd8767b67b93b8bbdc4d50245f3fd427bfe7"/>
    <w:p>
      <w:pPr>
        <w:pStyle w:val="Heading2"/>
      </w:pPr>
      <w:r>
        <w:t xml:space="preserve">2. What Management Guided For Q2</w:t>
      </w:r>
    </w:p>
    <w:p>
      <w:pPr>
        <w:pStyle w:val="FirstParagraph"/>
      </w:pPr>
      <w:r>
        <w:t xml:space="preserve">From the Q1 call/release (reported April 28), NXP guided Q2 2026 to:</w:t>
      </w:r>
    </w:p>
    <w:p>
      <w:pPr>
        <w:pStyle w:val="Compact"/>
        <w:numPr>
          <w:ilvl w:val="0"/>
          <w:numId w:val="1001"/>
        </w:numPr>
      </w:pPr>
      <w:r>
        <w:rPr>
          <w:b/>
          <w:bCs/>
        </w:rPr>
        <w:t xml:space="preserve">Revenue:</w:t>
      </w:r>
      <w:r>
        <w:t xml:space="preserve"> </w:t>
      </w:r>
      <w:r>
        <w:t xml:space="preserve">$3.45B midpoint (range</w:t>
      </w:r>
      <w:r>
        <w:t xml:space="preserve"> </w:t>
      </w:r>
      <m:oMath>
        <m:r>
          <m:t>3.35</m:t>
        </m:r>
        <m:r>
          <m:t>B</m:t>
        </m:r>
        <m:r>
          <m:rPr>
            <m:sty m:val="p"/>
          </m:rPr>
          <m:t>–</m:t>
        </m:r>
      </m:oMath>
      <w:r>
        <w:t xml:space="preserve">3.55B), +18% YoY, +8% sequentially</w:t>
      </w:r>
    </w:p>
    <w:p>
      <w:pPr>
        <w:pStyle w:val="Compact"/>
        <w:numPr>
          <w:ilvl w:val="0"/>
          <w:numId w:val="1001"/>
        </w:numPr>
      </w:pPr>
      <w:r>
        <w:rPr>
          <w:b/>
          <w:bCs/>
        </w:rPr>
        <w:t xml:space="preserve">Non-GAAP gross margin:</w:t>
      </w:r>
      <w:r>
        <w:t xml:space="preserve"> </w:t>
      </w:r>
      <w:r>
        <w:t xml:space="preserve">58.0% (±50bps), up 150bps YoY and 90bps sequentially</w:t>
      </w:r>
    </w:p>
    <w:p>
      <w:pPr>
        <w:pStyle w:val="Compact"/>
        <w:numPr>
          <w:ilvl w:val="0"/>
          <w:numId w:val="1001"/>
        </w:numPr>
      </w:pPr>
      <w:r>
        <w:rPr>
          <w:b/>
          <w:bCs/>
        </w:rPr>
        <w:t xml:space="preserve">Non-GAAP operating margin:</w:t>
      </w:r>
      <w:r>
        <w:t xml:space="preserve"> </w:t>
      </w:r>
      <w:r>
        <w:t xml:space="preserve">34.7% midpoint</w:t>
      </w:r>
    </w:p>
    <w:p>
      <w:pPr>
        <w:pStyle w:val="Compact"/>
        <w:numPr>
          <w:ilvl w:val="0"/>
          <w:numId w:val="1001"/>
        </w:numPr>
      </w:pPr>
      <w:r>
        <w:rPr>
          <w:b/>
          <w:bCs/>
        </w:rPr>
        <w:t xml:space="preserve">Non-GAAP EPS:</w:t>
      </w:r>
      <w:r>
        <w:t xml:space="preserve"> </w:t>
      </w:r>
      <w:r>
        <w:t xml:space="preserve">$3.50 midpoint (range</w:t>
      </w:r>
      <w:r>
        <w:t xml:space="preserve"> </w:t>
      </w:r>
      <m:oMath>
        <m:r>
          <m:t>3.29</m:t>
        </m:r>
        <m:r>
          <m:rPr>
            <m:sty m:val="p"/>
          </m:rPr>
          <m:t>–</m:t>
        </m:r>
      </m:oMath>
      <w:r>
        <w:t xml:space="preserve">3.72)</w:t>
      </w:r>
    </w:p>
    <w:p>
      <w:pPr>
        <w:pStyle w:val="Compact"/>
        <w:numPr>
          <w:ilvl w:val="0"/>
          <w:numId w:val="1001"/>
        </w:numPr>
      </w:pPr>
      <w:r>
        <w:rPr>
          <w:b/>
          <w:bCs/>
        </w:rPr>
        <w:t xml:space="preserve">End-market color:</w:t>
      </w:r>
      <w:r>
        <w:t xml:space="preserve"> </w:t>
      </w:r>
      <w:r>
        <w:t xml:space="preserve">Automotive up low-double-digits YoY / high-single-digits QoQ; Industrial &amp; IoT up high-30% YoY / high-teens QoQ; Mobile up low-single-digits YoY / down low-double-digits QoQ; Communications infra up mid-30% YoY / mid-teens QoQ</w:t>
      </w:r>
    </w:p>
    <w:p>
      <w:pPr>
        <w:pStyle w:val="FirstParagraph"/>
      </w:pPr>
      <w:r>
        <w:t xml:space="preserve">Management's framing at the time was notably confident — CEO Rafael Sotomayor said the "remainder of 2026 is set up to be stronger than we anticipated just 90 days ago," citing strengthening direct order books and distribution backlog, and reiterated that 2027 Investor Day targets (double-digit revenue growth in both 2026 and 2027, gross margin trending toward 60%+) remain intact.</w:t>
      </w:r>
    </w:p>
    <w:bookmarkEnd w:id="10"/>
    <w:bookmarkStart w:id="11" w:name="X70060040a3605644c45258f7d6af46dc805e865"/>
    <w:p>
      <w:pPr>
        <w:pStyle w:val="Heading2"/>
      </w:pPr>
      <w:r>
        <w:t xml:space="preserve">3. Street Expectations</w:t>
      </w:r>
    </w:p>
    <w:p>
      <w:pPr>
        <w:pStyle w:val="FirstParagraph"/>
      </w:pPr>
      <w:r>
        <w:t xml:space="preserve">Consensus has crept slightly above the midpoint of guidance, consistent with NXP's recent beat pattern:</w:t>
      </w:r>
    </w:p>
    <w:p>
      <w:pPr>
        <w:pStyle w:val="Compact"/>
        <w:numPr>
          <w:ilvl w:val="0"/>
          <w:numId w:val="1002"/>
        </w:numPr>
      </w:pPr>
      <w:r>
        <w:rPr>
          <w:b/>
          <w:bCs/>
        </w:rPr>
        <w:t xml:space="preserve">Revenue:</w:t>
      </w:r>
      <w:r>
        <w:t xml:space="preserve"> </w:t>
      </w:r>
      <w:r>
        <w:t xml:space="preserve">~$3.45–3.51B consensus (Zacks pegs $3.47B, indicating an increase of 18.5% year over year; other trackers show $3.51B)</w:t>
      </w:r>
    </w:p>
    <w:p>
      <w:pPr>
        <w:pStyle w:val="Compact"/>
        <w:numPr>
          <w:ilvl w:val="0"/>
          <w:numId w:val="1002"/>
        </w:numPr>
      </w:pPr>
      <w:r>
        <w:rPr>
          <w:b/>
          <w:bCs/>
        </w:rPr>
        <w:t xml:space="preserve">EPS:</w:t>
      </w:r>
      <w:r>
        <w:t xml:space="preserve"> </w:t>
      </w:r>
      <w:r>
        <w:t xml:space="preserve">~$3.54–3.55 consensus, unchanged over the past 60 days, suggesting an increase of 30.2% year over year</w:t>
      </w:r>
    </w:p>
    <w:p>
      <w:pPr>
        <w:pStyle w:val="Compact"/>
        <w:numPr>
          <w:ilvl w:val="0"/>
          <w:numId w:val="1002"/>
        </w:numPr>
      </w:pPr>
      <w:r>
        <w:rPr>
          <w:b/>
          <w:bCs/>
        </w:rPr>
        <w:t xml:space="preserve">Automotive:</w:t>
      </w:r>
      <w:r>
        <w:t xml:space="preserve"> </w:t>
      </w:r>
      <w:r>
        <w:t xml:space="preserve">Zacks Consensus Estimate for Automotive revenues is currently pegged at $1.93 billion, indicating an increase of 11.9% from the year-ago quarter</w:t>
      </w:r>
    </w:p>
    <w:p>
      <w:pPr>
        <w:pStyle w:val="Compact"/>
        <w:numPr>
          <w:ilvl w:val="0"/>
          <w:numId w:val="1002"/>
        </w:numPr>
      </w:pPr>
      <w:r>
        <w:t xml:space="preserve">Track record: in the trailing four quarters, NXPI's earnings beat the Zacks Consensus Estimate in three of the trailing four quarters, while matching once, with the average surprise being 1.5%, and more broadly NXP Semiconductors rarely misses Wall Street's revenue estimates.</w:t>
      </w:r>
    </w:p>
    <w:p>
      <w:pPr>
        <w:pStyle w:val="FirstParagraph"/>
      </w:pPr>
      <w:r>
        <w:t xml:space="preserve">Analyst sentiment is constructive: Needham raised its price target to $300 (Buy) after Q1, Truist lifted to $310 (Buy), Jefferies to $300 (Buy), and Wall Street Zen upgraded to Buy — though Citigroup remains Neutral, illustrating some divergence heading in.</w:t>
      </w:r>
    </w:p>
    <w:bookmarkEnd w:id="11"/>
    <w:bookmarkStart w:id="12" w:name="Xd9303ddd6392b528fe7dfcdc694655cac6e2d95"/>
    <w:p>
      <w:pPr>
        <w:pStyle w:val="Heading2"/>
      </w:pPr>
      <w:r>
        <w:t xml:space="preserve">4. Key Themes to Watch</w:t>
      </w:r>
    </w:p>
    <w:p>
      <w:pPr>
        <w:pStyle w:val="FirstParagraph"/>
      </w:pPr>
      <w:r>
        <w:rPr>
          <w:b/>
          <w:bCs/>
        </w:rPr>
        <w:t xml:space="preserve">a) The "company-specific growth driver" story broadening.</w:t>
      </w:r>
      <w:r>
        <w:t xml:space="preserve"> </w:t>
      </w:r>
      <w:r>
        <w:t xml:space="preserve">Management's central thesis is that growth is increasingly structural rather than cyclical — auto growth drivers (S32N/S32K5 processing platforms, radar, connectivity, Ethernet) represented over 45% of Q1 auto revenue and management expects that to approach ~50% by year-end. Investors will want confirmation this trajectory is intact and whether it's broadening into the "core" business as promised (Q1 showed the non-accelerated portion of Industrial &amp; IoT returning to 15% YoY growth after a prior-year decline).</w:t>
      </w:r>
    </w:p>
    <w:p>
      <w:pPr>
        <w:pStyle w:val="BodyText"/>
      </w:pPr>
      <w:r>
        <w:rPr>
          <w:b/>
          <w:bCs/>
        </w:rPr>
        <w:t xml:space="preserve">b) Data center — a newly disclosed, fast-growing sliver.</w:t>
      </w:r>
      <w:r>
        <w:t xml:space="preserve"> </w:t>
      </w:r>
      <w:r>
        <w:t xml:space="preserve">NXP quantified data-center-related revenue for the first time in Q1: ~$200M in 2025, expected to be</w:t>
      </w:r>
      <w:r>
        <w:t xml:space="preserve"> </w:t>
      </w:r>
      <w:r>
        <w:rPr>
          <w:b/>
          <w:bCs/>
        </w:rPr>
        <w:t xml:space="preserve">north of $500M in 2026</w:t>
      </w:r>
      <w:r>
        <w:t xml:space="preserve"> </w:t>
      </w:r>
      <w:r>
        <w:t xml:space="preserve">(more than doubling), split across Industrial &amp; IoT and Communications Infrastructure. NXP frames its exposure as "control plane" (networking processors, board management, power/cooling, security) rather than the AI data plane — watch for an updated trajectory and any new design-win commentary, especially given how hot this theme has become across the semiconductor complex (memory players, ASICs, HBM deals dominating headlines).</w:t>
      </w:r>
    </w:p>
    <w:p>
      <w:pPr>
        <w:pStyle w:val="BodyText"/>
      </w:pPr>
      <w:r>
        <w:rPr>
          <w:b/>
          <w:bCs/>
        </w:rPr>
        <w:t xml:space="preserve">c) China and auto unit softness vs. content growth.</w:t>
      </w:r>
      <w:r>
        <w:t xml:space="preserve"> </w:t>
      </w:r>
      <w:r>
        <w:t xml:space="preserve">China remains a large swing factor — NXPI is a major player in China, accounting for 39% of its annual revenues in 2025, and Zacks flags that the second quarter is anticipated to have been hurt by macroeconomic headwinds and escalating geopolitical tensions. Management's counter-narrative (from Q1) was that unit/SAAR weakness in China is more than offset by rising semiconductor content per vehicle as architectures shift to zonal/central-compute designs — watch for whether that argument still holds given persistently soft China auto production data.</w:t>
      </w:r>
    </w:p>
    <w:p>
      <w:pPr>
        <w:pStyle w:val="BodyText"/>
      </w:pPr>
      <w:r>
        <w:rPr>
          <w:b/>
          <w:bCs/>
        </w:rPr>
        <w:t xml:space="preserve">d) Pricing and input-cost inflation.</w:t>
      </w:r>
      <w:r>
        <w:t xml:space="preserve"> </w:t>
      </w:r>
      <w:r>
        <w:t xml:space="preserve">On the Q1 call, NXP acknowledged "selective smart pricing adjustments" to offset rising input costs (wafer/foundry capacity tightness), though it characterized the near-term impact as immaterial. This is now a live industry theme: Texas Instruments disclosed it is executing price increases after pricing remained flat in the first half of the year, with some increases affecting Q3 results and additional impact expected in Q4 and into next year, and broader memory shortages (Micron, SK Hynix, CXMT's blockbuster Shanghai IPO) are pushing component costs higher across the supply chain. Investors will listen for whether NXP is following suit more assertively and what it means for H2 gross margin.</w:t>
      </w:r>
    </w:p>
    <w:p>
      <w:pPr>
        <w:pStyle w:val="BodyText"/>
      </w:pPr>
      <w:r>
        <w:rPr>
          <w:b/>
          <w:bCs/>
        </w:rPr>
        <w:t xml:space="preserve">e) Gross margin trajectory.</w:t>
      </w:r>
      <w:r>
        <w:t xml:space="preserve"> </w:t>
      </w:r>
      <w:r>
        <w:t xml:space="preserve">NXP guided Q2 non-GAAP gross margin to 58%, with management citing front-end utilization improving from "low 80s" in H1 to "mid-80s" in H2 2026, plus roughly 200bps of eventual structural benefit once the VSMC Singapore JV facility is fully ramped (targeted 2028). Any commentary on VSMC/ESMC capex cadence, timing, and whether utilization gains are ahead of/behind plan will matter for the multi-year 60%+ gross margin target.</w:t>
      </w:r>
    </w:p>
    <w:p>
      <w:pPr>
        <w:pStyle w:val="BodyText"/>
      </w:pPr>
      <w:r>
        <w:rPr>
          <w:b/>
          <w:bCs/>
        </w:rPr>
        <w:t xml:space="preserve">f) Capital returns and balance sheet.</w:t>
      </w:r>
      <w:r>
        <w:t xml:space="preserve"> </w:t>
      </w:r>
      <w:r>
        <w:t xml:space="preserve">Q1 saw $358M returned to shareholders (dividends + buybacks) against</w:t>
      </w:r>
      <w:r>
        <w:t xml:space="preserve"> </w:t>
      </w:r>
      <m:oMath>
        <m:r>
          <m:t>714</m:t>
        </m:r>
        <m:r>
          <m:t>M</m:t>
        </m:r>
        <m:r>
          <m:t>o</m:t>
        </m:r>
        <m:r>
          <m:t>f</m:t>
        </m:r>
        <m:r>
          <m:t>n</m:t>
        </m:r>
        <m:r>
          <m:t>o</m:t>
        </m:r>
        <m:r>
          <m:t>n</m:t>
        </m:r>
        <m:r>
          <m:rPr>
            <m:sty m:val="p"/>
          </m:rPr>
          <m:t>−</m:t>
        </m:r>
        <m:r>
          <m:t>G</m:t>
        </m:r>
        <m:r>
          <m:t>A</m:t>
        </m:r>
        <m:r>
          <m:t>A</m:t>
        </m:r>
        <m:r>
          <m:t>P</m:t>
        </m:r>
        <m:r>
          <m:t>f</m:t>
        </m:r>
        <m:r>
          <m:t>r</m:t>
        </m:r>
        <m:r>
          <m:t>e</m:t>
        </m:r>
        <m:r>
          <m:t>e</m:t>
        </m:r>
        <m:r>
          <m:t>c</m:t>
        </m:r>
        <m:r>
          <m:t>a</m:t>
        </m:r>
        <m:r>
          <m:t>s</m:t>
        </m:r>
        <m:r>
          <m:t>h</m:t>
        </m:r>
        <m:r>
          <m:t>f</m:t>
        </m:r>
        <m:r>
          <m:t>l</m:t>
        </m:r>
        <m:r>
          <m:t>o</m:t>
        </m:r>
        <m:r>
          <m:t>w</m:t>
        </m:r>
        <m:r>
          <m:rPr>
            <m:sty m:val="p"/>
          </m:rPr>
          <m:t>(</m:t>
        </m:r>
        <m:r>
          <m:t>22</m:t>
        </m:r>
      </m:oMath>
      <w:r>
        <w:t xml:space="preserve">878M of proceeds banked from the MEMS Sensors divestiture. Watch for updated capital-return cadence and any M&amp;A commentary given NXP's stated "targeted M&amp;A" appetite.</w:t>
      </w:r>
    </w:p>
    <w:bookmarkEnd w:id="12"/>
    <w:bookmarkStart w:id="13" w:name="Xde26bfa5f5008934602f6fcb9dbaca08db4fc1b"/>
    <w:p>
      <w:pPr>
        <w:pStyle w:val="Heading2"/>
      </w:pPr>
      <w:r>
        <w:t xml:space="preserve">5. Peer Read-Through</w:t>
      </w:r>
    </w:p>
    <w:p>
      <w:pPr>
        <w:pStyle w:val="FirstParagraph"/>
      </w:pPr>
      <w:r>
        <w:t xml:space="preserve">Recent analog/industrial peer prints have generally validated NXP's bullish framing of a broadening cyclical recovery:</w:t>
      </w:r>
    </w:p>
    <w:p>
      <w:pPr>
        <w:pStyle w:val="Compact"/>
        <w:numPr>
          <w:ilvl w:val="0"/>
          <w:numId w:val="1003"/>
        </w:numPr>
      </w:pPr>
      <w:r>
        <w:rPr>
          <w:b/>
          <w:bCs/>
        </w:rPr>
        <w:t xml:space="preserve">Texas Instruments (reported July 21):</w:t>
      </w:r>
      <w:r>
        <w:t xml:space="preserve"> </w:t>
      </w:r>
      <w:r>
        <w:t xml:space="preserve">revenue of $5.5 billion, a 13% sequential and 23% year-over-year increase, driven by growth in Analog and Embedded Processing, with significant growth in industrial (30% YoY), automotive (mid-teens), and data center (doubled YoY). TI guided Q3 above consensus and above normal seasonality, but the stock still sold off, reportedly on valuation/rotation dynamics.</w:t>
      </w:r>
    </w:p>
    <w:p>
      <w:pPr>
        <w:pStyle w:val="Compact"/>
        <w:numPr>
          <w:ilvl w:val="0"/>
          <w:numId w:val="1003"/>
        </w:numPr>
      </w:pPr>
      <w:r>
        <w:rPr>
          <w:b/>
          <w:bCs/>
        </w:rPr>
        <w:t xml:space="preserve">Intel:</w:t>
      </w:r>
      <w:r>
        <w:t xml:space="preserve"> </w:t>
      </w:r>
      <w:r>
        <w:t xml:space="preserve">beat handily and raised 2026 capex guidance, but also traded down post-print on capex/dilution concerns.</w:t>
      </w:r>
    </w:p>
    <w:p>
      <w:pPr>
        <w:pStyle w:val="Compact"/>
        <w:numPr>
          <w:ilvl w:val="0"/>
          <w:numId w:val="1003"/>
        </w:numPr>
      </w:pPr>
      <w:r>
        <w:rPr>
          <w:b/>
          <w:bCs/>
        </w:rPr>
        <w:t xml:space="preserve">Cadence Design Systems:</w:t>
      </w:r>
      <w:r>
        <w:t xml:space="preserve"> </w:t>
      </w:r>
      <w:r>
        <w:t xml:space="preserve">beat and raised full-year guidance, a positive read for semiconductor design activity broadly.</w:t>
      </w:r>
    </w:p>
    <w:p>
      <w:pPr>
        <w:pStyle w:val="FirstParagraph"/>
      </w:pPr>
      <w:r>
        <w:t xml:space="preserve">The consistent pattern — solid beats met with negative stock reactions — suggests the bar for NXP to actually move higher on results may be a genuine beat-and-raise with confident H2/2027 commentary, not just an in-line-to-slightly-better print.</w:t>
      </w:r>
    </w:p>
    <w:bookmarkEnd w:id="13"/>
    <w:bookmarkStart w:id="14" w:name="Xe4f2d90aca92f8f46bfb07ca8ac733e0fb89330"/>
    <w:p>
      <w:pPr>
        <w:pStyle w:val="Heading2"/>
      </w:pPr>
      <w:r>
        <w:t xml:space="preserve">6. Risks to Monitor</w:t>
      </w:r>
    </w:p>
    <w:p>
      <w:pPr>
        <w:pStyle w:val="Compact"/>
        <w:numPr>
          <w:ilvl w:val="0"/>
          <w:numId w:val="1004"/>
        </w:numPr>
      </w:pPr>
      <w:r>
        <w:rPr>
          <w:b/>
          <w:bCs/>
        </w:rPr>
        <w:t xml:space="preserve">China demand/geopolitics:</w:t>
      </w:r>
      <w:r>
        <w:t xml:space="preserve"> </w:t>
      </w:r>
      <w:r>
        <w:t xml:space="preserve">weak domestic auto sales data vs. management's content-growth offset thesis; escalating US-China tech tensions (e.g., the swirl of headlines around China's domestic chip and lithography self-sufficiency progress, which hit ASML shares this week) could pressure sentiment on China-exposed names generally.</w:t>
      </w:r>
    </w:p>
    <w:p>
      <w:pPr>
        <w:pStyle w:val="Compact"/>
        <w:numPr>
          <w:ilvl w:val="0"/>
          <w:numId w:val="1004"/>
        </w:numPr>
      </w:pPr>
      <w:r>
        <w:rPr>
          <w:b/>
          <w:bCs/>
        </w:rPr>
        <w:t xml:space="preserve">Input cost/memory inflation:</w:t>
      </w:r>
      <w:r>
        <w:t xml:space="preserve"> </w:t>
      </w:r>
      <w:r>
        <w:t xml:space="preserve">rising foundry and memory costs could squeeze margins if NXP can't pass through pricing as smoothly as it suggested last quarter.</w:t>
      </w:r>
    </w:p>
    <w:p>
      <w:pPr>
        <w:pStyle w:val="Compact"/>
        <w:numPr>
          <w:ilvl w:val="0"/>
          <w:numId w:val="1004"/>
        </w:numPr>
      </w:pPr>
      <w:r>
        <w:rPr>
          <w:b/>
          <w:bCs/>
        </w:rPr>
        <w:t xml:space="preserve">Macro/tariff overhang:</w:t>
      </w:r>
      <w:r>
        <w:t xml:space="preserve"> </w:t>
      </w:r>
      <w:r>
        <w:t xml:space="preserve">ongoing US tariff actions (steel, autos, and broader trading-partner tariffs) add uncertainty to global auto and industrial capex, NXP's two largest end markets.</w:t>
      </w:r>
    </w:p>
    <w:p>
      <w:pPr>
        <w:pStyle w:val="Compact"/>
        <w:numPr>
          <w:ilvl w:val="0"/>
          <w:numId w:val="1004"/>
        </w:numPr>
      </w:pPr>
      <w:r>
        <w:rPr>
          <w:b/>
          <w:bCs/>
        </w:rPr>
        <w:t xml:space="preserve">Valuation/sentiment risk:</w:t>
      </w:r>
      <w:r>
        <w:t xml:space="preserve"> </w:t>
      </w:r>
      <w:r>
        <w:t xml:space="preserve">even strong fundamental prints (TI, Intel) have been sold recently as the market reassesses AI-capex-driven tech valuations broadly — NXP could face a similar reaction regardless of the quality of its own numbers.</w:t>
      </w:r>
    </w:p>
    <w:p>
      <w:pPr>
        <w:pStyle w:val="Compact"/>
        <w:numPr>
          <w:ilvl w:val="0"/>
          <w:numId w:val="1004"/>
        </w:numPr>
      </w:pPr>
      <w:r>
        <w:rPr>
          <w:b/>
          <w:bCs/>
        </w:rPr>
        <w:t xml:space="preserve">Execution on secular drivers:</w:t>
      </w:r>
      <w:r>
        <w:t xml:space="preserve"> </w:t>
      </w:r>
      <w:r>
        <w:t xml:space="preserve">the bull case rests heavily on SDV/physical AI/data-center design wins converting to revenue on schedule; any signs of push-outs (e.g., Kinara/Aviva Links/TTTech integration timelines, which management targeted for meaningful revenue in 2027–2028) would be watched closely.</w:t>
      </w:r>
    </w:p>
    <w:bookmarkEnd w:id="14"/>
    <w:bookmarkStart w:id="15" w:name="X7a3bbf556adfc11a6000f5b234b318bdc6ae48e"/>
    <w:p>
      <w:pPr>
        <w:pStyle w:val="Heading2"/>
      </w:pPr>
      <w:r>
        <w:t xml:space="preserve">7. Bottom Line</w:t>
      </w:r>
    </w:p>
    <w:p>
      <w:pPr>
        <w:pStyle w:val="FirstParagraph"/>
      </w:pPr>
      <w:r>
        <w:t xml:space="preserve">NXP enters this print with real fundamental momentum — a Q1 beat, a well-above-consensus Q2 guide, newly disclosed and fast-growing data-center exposure, and reaffirmed 2027 targets — set against a sector backdrop where good news has recently not been good enough for stock reactions. The key swing factors for tomorrow are: (1) whether Q2 results and Q3 guidance extend the "acceleration" narrative Sotomayor promised in April, (2) fresh detail on data-center revenue and pricing actions, and (3) management's tone on China and second-half visibility. Given a ~20% pullback from May highs, expectations may be somewhat de-risked relative to a few months ago, but peer reactions (TXN, INTC) suggest even a solid beat-and-raise may not guarantee an upside stock move in the current macro-skittish tape.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2026-07-28T01:09:18Z</dcterms:created>
  <dcterms:modified xsi:type="dcterms:W3CDTF">2026-07-28T01:09:18Z</dcterms:modified>
</cp:coreProperties>
</file>

<file path=docProps/custom.xml><?xml version="1.0" encoding="utf-8"?>
<Properties xmlns="http://schemas.openxmlformats.org/officeDocument/2006/custom-properties" xmlns:vt="http://schemas.openxmlformats.org/officeDocument/2006/docPropsVTypes"/>
</file>