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2ebec05ebeddcf7e25a1713582e66de6eaf7fe"/>
    <w:p>
      <w:pPr>
        <w:pStyle w:val="Heading1"/>
      </w:pPr>
      <w:r>
        <w:t xml:space="preserve">NXP Semiconductors (NXPI) — 2026 Q2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The latest event information indicates NXP is scheduled to report</w:t>
      </w:r>
      <w:r>
        <w:t xml:space="preserve"> </w:t>
      </w:r>
      <w:r>
        <w:rPr>
          <w:b/>
          <w:bCs/>
        </w:rPr>
        <w:t xml:space="preserve">after the U.S. close on Tuesday, July 28, 2026</w:t>
      </w:r>
      <w:r>
        <w:t xml:space="preserve">, rather than July 29. This preview is framed for the July 28 report and earnings call.</w:t>
      </w:r>
    </w:p>
    <w:bookmarkStart w:id="9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NXP enters Q2 with a favorable operating backdrop but a higher burden of proof following April’s strong report. The central question is no longer whether the semiconductor cycle has stabilized. It is whether NXP’s company-specific growth drivers—software-defined vehicles, industrial processing, edge AI and data-center control systems—can sustain enough momentum to deliver</w:t>
      </w:r>
      <w:r>
        <w:t xml:space="preserve"> </w:t>
      </w:r>
      <w:r>
        <w:rPr>
          <w:b/>
          <w:bCs/>
        </w:rPr>
        <w:t xml:space="preserve">double-digit growth in both 2026 and 2027</w:t>
      </w:r>
      <w:r>
        <w:t xml:space="preserve"> </w:t>
      </w:r>
      <w:r>
        <w:t xml:space="preserve">while pushing gross margin toward 60%.</w:t>
      </w:r>
    </w:p>
    <w:p>
      <w:pPr>
        <w:pStyle w:val="BodyText"/>
      </w:pPr>
      <w:r>
        <w:t xml:space="preserve">The reported quarter should be relatively straightforward. Management’s Q2 guidance was strong, and consensus sits close to that outlook.</w:t>
      </w:r>
      <w:r>
        <w:t xml:space="preserve"> </w:t>
      </w:r>
      <w:r>
        <w:rPr>
          <w:b/>
          <w:bCs/>
        </w:rPr>
        <w:t xml:space="preserve">The stock reaction will probably be determined by Q3 guidance, automotive commentary and evidence that the industrial recovery is durable.</w:t>
      </w:r>
    </w:p>
    <w:bookmarkEnd w:id="9"/>
    <w:bookmarkStart w:id="10" w:name="q2-scorecard"/>
    <w:p>
      <w:pPr>
        <w:pStyle w:val="Heading2"/>
      </w:pPr>
      <w:r>
        <w:t xml:space="preserve">Q2 scorecard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management midpoint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Street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$3.45B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~$3.45B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$3.18B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$2.93B</w:t>
            </w:r>
          </w:p>
        </w:tc>
      </w:tr>
      <w:tr>
        <w:tc>
          <w:tcPr/>
          <w:p>
            <w:pPr>
              <w:pStyle w:val="Compact"/>
            </w:pPr>
            <w:r>
              <w:t xml:space="preserve">YoY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(6%)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58.0%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~58.0%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34.7%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$3.50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~$3.54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$2.72</w:t>
            </w:r>
          </w:p>
        </w:tc>
      </w:tr>
    </w:tbl>
    <w:p>
      <w:pPr>
        <w:pStyle w:val="BodyText"/>
      </w:pPr>
      <w:r>
        <w:t xml:space="preserve">Consensus is only modestly above management’s EPS midpoint, so the numerical hurdle for Q2 itself does not appear excessive. However, expectations for continued acceleration are embedded in the broader thesis.</w:t>
      </w:r>
    </w:p>
    <w:bookmarkEnd w:id="10"/>
    <w:bookmarkStart w:id="16" w:name="what-should-drive-the-quarter"/>
    <w:p>
      <w:pPr>
        <w:pStyle w:val="Heading2"/>
      </w:pPr>
      <w:r>
        <w:t xml:space="preserve">What should drive the quarter</w:t>
      </w:r>
    </w:p>
    <w:bookmarkStart w:id="11" w:name="X64f074833cc7c573591768e5acc0a7cf6eb2c7a"/>
    <w:p>
      <w:pPr>
        <w:pStyle w:val="Heading3"/>
      </w:pPr>
      <w:r>
        <w:t xml:space="preserve">1. Automotive: content growth must outweigh weak vehicle-production headlines</w:t>
      </w:r>
    </w:p>
    <w:p>
      <w:pPr>
        <w:pStyle w:val="FirstParagraph"/>
      </w:pPr>
      <w:r>
        <w:t xml:space="preserve">Automotive remains NXP’s largest segment and the most important determinant of sentiment. Management guided to: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Low-double-digit YoY growth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High-single-digit sequential growth</w:t>
      </w:r>
    </w:p>
    <w:p>
      <w:pPr>
        <w:pStyle w:val="Compact"/>
        <w:numPr>
          <w:ilvl w:val="0"/>
          <w:numId w:val="1001"/>
        </w:numPr>
      </w:pPr>
      <w:r>
        <w:t xml:space="preserve">High-teens YoY growth excluding the divested MEMS sensor business</w:t>
      </w:r>
    </w:p>
    <w:p>
      <w:pPr>
        <w:pStyle w:val="FirstParagraph"/>
      </w:pPr>
      <w:r>
        <w:t xml:space="preserve">That implies automotive revenue around</w:t>
      </w:r>
      <w:r>
        <w:t xml:space="preserve"> </w:t>
      </w:r>
      <m:oMath>
        <m:r>
          <m:t>1.92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1.94B</w:t>
      </w:r>
      <w:r>
        <w:t xml:space="preserve">, versus $1.78B in Q1 and $1.73B a year ago.</w:t>
      </w:r>
    </w:p>
    <w:p>
      <w:pPr>
        <w:pStyle w:val="BodyText"/>
      </w:pPr>
      <w:r>
        <w:t xml:space="preserve">The bull case is based on rising semiconductor content per vehicle rather than improving global auto production. NXP says its growth is being driven by:</w:t>
      </w:r>
    </w:p>
    <w:p>
      <w:pPr>
        <w:pStyle w:val="Compact"/>
        <w:numPr>
          <w:ilvl w:val="0"/>
          <w:numId w:val="1002"/>
        </w:numPr>
      </w:pPr>
      <w:r>
        <w:t xml:space="preserve">S32 processors for zonal and centralized vehicle architectures</w:t>
      </w:r>
    </w:p>
    <w:p>
      <w:pPr>
        <w:pStyle w:val="Compact"/>
        <w:numPr>
          <w:ilvl w:val="0"/>
          <w:numId w:val="1002"/>
        </w:numPr>
      </w:pPr>
      <w:r>
        <w:t xml:space="preserve">Radar and connectivity</w:t>
      </w:r>
    </w:p>
    <w:p>
      <w:pPr>
        <w:pStyle w:val="Compact"/>
        <w:numPr>
          <w:ilvl w:val="0"/>
          <w:numId w:val="1002"/>
        </w:numPr>
      </w:pPr>
      <w:r>
        <w:t xml:space="preserve">Automotive Ethernet</w:t>
      </w:r>
    </w:p>
    <w:p>
      <w:pPr>
        <w:pStyle w:val="Compact"/>
        <w:numPr>
          <w:ilvl w:val="0"/>
          <w:numId w:val="1002"/>
        </w:numPr>
      </w:pPr>
      <w:r>
        <w:t xml:space="preserve">Electrification</w:t>
      </w:r>
    </w:p>
    <w:p>
      <w:pPr>
        <w:pStyle w:val="Compact"/>
        <w:numPr>
          <w:ilvl w:val="0"/>
          <w:numId w:val="1002"/>
        </w:numPr>
      </w:pPr>
      <w:r>
        <w:t xml:space="preserve">Software-defined vehicle platforms</w:t>
      </w:r>
    </w:p>
    <w:p>
      <w:pPr>
        <w:pStyle w:val="FirstParagraph"/>
      </w:pPr>
      <w:r>
        <w:t xml:space="preserve">Accelerated automotive products represented more than 45% of segment revenue in Q1 and supplied roughly 90% of its YoY growth. Investors should look for confirmation that this mix continues moving toward approximately 50% of automotive revenue by year-end.</w:t>
      </w:r>
    </w:p>
    <w:p>
      <w:pPr>
        <w:pStyle w:val="BodyText"/>
      </w:pPr>
      <w:r>
        <w:rPr>
          <w:b/>
          <w:bCs/>
        </w:rPr>
        <w:t xml:space="preserve">Most important question:</w:t>
      </w:r>
      <w:r>
        <w:t xml:space="preserve"> </w:t>
      </w:r>
      <w:r>
        <w:t xml:space="preserve">Is automotive growth still structural and design-win-driven, or are customer inventory replenishment and short-term ordering contributing more than management previously indicated?</w:t>
      </w:r>
    </w:p>
    <w:bookmarkEnd w:id="11"/>
    <w:bookmarkStart w:id="12" w:name="X0313ccaf7180879a04212b305fd90c306586746"/>
    <w:p>
      <w:pPr>
        <w:pStyle w:val="Heading3"/>
      </w:pPr>
      <w:r>
        <w:t xml:space="preserve">2. Industrial &amp; IoT should be the fastest-growing segment</w:t>
      </w:r>
    </w:p>
    <w:p>
      <w:pPr>
        <w:pStyle w:val="FirstParagraph"/>
      </w:pPr>
      <w:r>
        <w:t xml:space="preserve">Management guided Industrial &amp; IoT revenue to rise in the</w:t>
      </w:r>
      <w:r>
        <w:t xml:space="preserve"> </w:t>
      </w:r>
      <w:r>
        <w:rPr>
          <w:b/>
          <w:bCs/>
        </w:rPr>
        <w:t xml:space="preserve">high-30% range YoY</w:t>
      </w:r>
      <w:r>
        <w:t xml:space="preserve"> </w:t>
      </w:r>
      <w:r>
        <w:t xml:space="preserve">and high teens sequentially. That points to approximately</w:t>
      </w:r>
      <w:r>
        <w:t xml:space="preserve"> </w:t>
      </w:r>
      <w:r>
        <w:rPr>
          <w:b/>
          <w:bCs/>
        </w:rPr>
        <w:t xml:space="preserve">$750M</w:t>
      </w:r>
      <w:r>
        <w:t xml:space="preserve">, compared with $628M in Q1 and $546M in Q2 2025.</w:t>
      </w:r>
    </w:p>
    <w:p>
      <w:pPr>
        <w:pStyle w:val="BodyText"/>
      </w:pPr>
      <w:r>
        <w:t xml:space="preserve">This segment carries particular signaling value because it combines:</w:t>
      </w:r>
    </w:p>
    <w:p>
      <w:pPr>
        <w:pStyle w:val="Compact"/>
        <w:numPr>
          <w:ilvl w:val="0"/>
          <w:numId w:val="1003"/>
        </w:numPr>
      </w:pPr>
      <w:r>
        <w:t xml:space="preserve">A cyclical recovery in core industrial demand</w:t>
      </w:r>
    </w:p>
    <w:p>
      <w:pPr>
        <w:pStyle w:val="Compact"/>
        <w:numPr>
          <w:ilvl w:val="0"/>
          <w:numId w:val="1003"/>
        </w:numPr>
      </w:pPr>
      <w:r>
        <w:t xml:space="preserve">New-product ramps in i.MX, RT and MCX processing</w:t>
      </w:r>
    </w:p>
    <w:p>
      <w:pPr>
        <w:pStyle w:val="Compact"/>
        <w:numPr>
          <w:ilvl w:val="0"/>
          <w:numId w:val="1003"/>
        </w:numPr>
      </w:pPr>
      <w:r>
        <w:t xml:space="preserve">Factory automation and energy-storage demand</w:t>
      </w:r>
    </w:p>
    <w:p>
      <w:pPr>
        <w:pStyle w:val="Compact"/>
        <w:numPr>
          <w:ilvl w:val="0"/>
          <w:numId w:val="1003"/>
        </w:numPr>
      </w:pPr>
      <w:r>
        <w:t xml:space="preserve">Edge and “physical AI” applications</w:t>
      </w:r>
    </w:p>
    <w:p>
      <w:pPr>
        <w:pStyle w:val="Compact"/>
        <w:numPr>
          <w:ilvl w:val="0"/>
          <w:numId w:val="1003"/>
        </w:numPr>
      </w:pPr>
      <w:r>
        <w:t xml:space="preserve">Data-center cooling, power and board-management systems</w:t>
      </w:r>
    </w:p>
    <w:p>
      <w:pPr>
        <w:pStyle w:val="FirstParagraph"/>
      </w:pPr>
      <w:r>
        <w:t xml:space="preserve">In Q1, newer industrial processing products grew about 75% YoY, while management said the legacy/core business had also returned to growth. A strong Q2 result accompanied by constructive Q3 commentary would support the view that this is more than a temporary restocking cycle.</w:t>
      </w:r>
    </w:p>
    <w:bookmarkEnd w:id="12"/>
    <w:bookmarkStart w:id="13" w:name="X950a238f9463ff89998ef755ee87a0b105dae77"/>
    <w:p>
      <w:pPr>
        <w:pStyle w:val="Heading3"/>
      </w:pPr>
      <w:r>
        <w:t xml:space="preserve">3. Data-center exposure is an emerging upside lever</w:t>
      </w:r>
    </w:p>
    <w:p>
      <w:pPr>
        <w:pStyle w:val="FirstParagraph"/>
      </w:pPr>
      <w:r>
        <w:t xml:space="preserve">NXP disclosed in April that revenue tied to data-center applications was about</w:t>
      </w:r>
      <w:r>
        <w:t xml:space="preserve"> </w:t>
      </w:r>
      <m:oMath>
        <m:r>
          <m:t>200</m:t>
        </m:r>
        <m:r>
          <m:t>M</m:t>
        </m:r>
        <m:r>
          <m:t>i</m:t>
        </m:r>
        <m:r>
          <m:t>n</m:t>
        </m:r>
        <m:r>
          <m:t>2025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s</m:t>
        </m:r>
        <m:r>
          <m:t>h</m:t>
        </m:r>
        <m:r>
          <m:t>o</m:t>
        </m:r>
        <m:r>
          <m:t>u</m:t>
        </m:r>
        <m:r>
          <m:t>l</m:t>
        </m:r>
        <m:r>
          <m:t>d</m:t>
        </m:r>
        <m:r>
          <m:t>e</m:t>
        </m:r>
        <m:r>
          <m:t>x</m:t>
        </m:r>
        <m:r>
          <m:t>c</m:t>
        </m:r>
        <m:r>
          <m:t>e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500M in 2026</w:t>
      </w:r>
      <w:r>
        <w:t xml:space="preserve">.</w:t>
      </w:r>
    </w:p>
    <w:p>
      <w:pPr>
        <w:pStyle w:val="BodyText"/>
      </w:pPr>
      <w:r>
        <w:t xml:space="preserve">This is not GPU or high-speed AI networking exposure. NXP supplies the control plane through products used in:</w:t>
      </w:r>
    </w:p>
    <w:p>
      <w:pPr>
        <w:pStyle w:val="Compact"/>
        <w:numPr>
          <w:ilvl w:val="0"/>
          <w:numId w:val="1004"/>
        </w:numPr>
      </w:pPr>
      <w:r>
        <w:t xml:space="preserve">Cooling systems</w:t>
      </w:r>
    </w:p>
    <w:p>
      <w:pPr>
        <w:pStyle w:val="Compact"/>
        <w:numPr>
          <w:ilvl w:val="0"/>
          <w:numId w:val="1004"/>
        </w:numPr>
      </w:pPr>
      <w:r>
        <w:t xml:space="preserve">Power supplies</w:t>
      </w:r>
    </w:p>
    <w:p>
      <w:pPr>
        <w:pStyle w:val="Compact"/>
        <w:numPr>
          <w:ilvl w:val="0"/>
          <w:numId w:val="1004"/>
        </w:numPr>
      </w:pPr>
      <w:r>
        <w:t xml:space="preserve">Board management</w:t>
      </w:r>
    </w:p>
    <w:p>
      <w:pPr>
        <w:pStyle w:val="Compact"/>
        <w:numPr>
          <w:ilvl w:val="0"/>
          <w:numId w:val="1004"/>
        </w:numPr>
      </w:pPr>
      <w:r>
        <w:t xml:space="preserve">Secure control</w:t>
      </w:r>
    </w:p>
    <w:p>
      <w:pPr>
        <w:pStyle w:val="Compact"/>
        <w:numPr>
          <w:ilvl w:val="0"/>
          <w:numId w:val="1004"/>
        </w:numPr>
      </w:pPr>
      <w:r>
        <w:t xml:space="preserve">Control-plane switching</w:t>
      </w:r>
    </w:p>
    <w:p>
      <w:pPr>
        <w:pStyle w:val="FirstParagraph"/>
      </w:pPr>
      <w:r>
        <w:t xml:space="preserve">The opportunity is strategically useful because these products are generally long-lived, reliability-intensive and favorable to corporate gross margin. Investors will want evidence that the expected revenue more than doubling is on track—and whether the current ramp creates meaningful upside into 2027.</w:t>
      </w:r>
    </w:p>
    <w:bookmarkEnd w:id="13"/>
    <w:bookmarkStart w:id="14" w:name="X15418b2ce2c04eeb616860596e249c5dabb5f54"/>
    <w:p>
      <w:pPr>
        <w:pStyle w:val="Heading3"/>
      </w:pPr>
      <w:r>
        <w:t xml:space="preserve">4. Communications infrastructure should benefit from data centers and RFID</w:t>
      </w:r>
    </w:p>
    <w:p>
      <w:pPr>
        <w:pStyle w:val="FirstParagraph"/>
      </w:pPr>
      <w:r>
        <w:t xml:space="preserve">Management’s mid-30% YoY and mid-teens sequential growth framework implies revenue near</w:t>
      </w:r>
      <w:r>
        <w:t xml:space="preserve"> </w:t>
      </w:r>
      <w:r>
        <w:rPr>
          <w:b/>
          <w:bCs/>
        </w:rPr>
        <w:t xml:space="preserve">$430M</w:t>
      </w:r>
      <w:r>
        <w:t xml:space="preserve">, versus $380M in Q1 and $320M last year.</w:t>
      </w:r>
    </w:p>
    <w:p>
      <w:pPr>
        <w:pStyle w:val="BodyText"/>
      </w:pPr>
      <w:r>
        <w:t xml:space="preserve">Expected drivers include digital networking for data centers and UCODE RFID products. NXP is simultaneously deemphasizing parts of RF power, so investors should distinguish between sustainable growth in digital networking/RFID and any temporary recovery in lower-priority products.</w:t>
      </w:r>
    </w:p>
    <w:bookmarkEnd w:id="14"/>
    <w:bookmarkStart w:id="15" w:name="Xa56561a58c62e857a2afc7a06fc6a09281676f7"/>
    <w:p>
      <w:pPr>
        <w:pStyle w:val="Heading3"/>
      </w:pPr>
      <w:r>
        <w:t xml:space="preserve">5. Mobile is likely the least important segment this quarter</w:t>
      </w:r>
    </w:p>
    <w:p>
      <w:pPr>
        <w:pStyle w:val="FirstParagraph"/>
      </w:pPr>
      <w:r>
        <w:t xml:space="preserve">Mobile revenue should be around</w:t>
      </w:r>
      <w:r>
        <w:t xml:space="preserve"> </w:t>
      </w:r>
      <w:r>
        <w:rPr>
          <w:b/>
          <w:bCs/>
        </w:rPr>
        <w:t xml:space="preserve">$340M</w:t>
      </w:r>
      <w:r>
        <w:t xml:space="preserve">, up slightly YoY but down low double digits sequentially. Secure mobile transactions remain the principal driver.</w:t>
      </w:r>
    </w:p>
    <w:p>
      <w:pPr>
        <w:pStyle w:val="BodyText"/>
      </w:pPr>
      <w:r>
        <w:t xml:space="preserve">Unless the result is substantially outside expectations, mobile is unlikely to determine the earnings reaction.</w:t>
      </w:r>
    </w:p>
    <w:bookmarkEnd w:id="15"/>
    <w:bookmarkEnd w:id="16"/>
    <w:bookmarkStart w:id="17" w:name="the-real-event-q3-guidance"/>
    <w:p>
      <w:pPr>
        <w:pStyle w:val="Heading2"/>
      </w:pPr>
      <w:r>
        <w:t xml:space="preserve">The real event: Q3 guidance</w:t>
      </w:r>
    </w:p>
    <w:p>
      <w:pPr>
        <w:pStyle w:val="FirstParagraph"/>
      </w:pPr>
      <w:r>
        <w:t xml:space="preserve">A small Q2 beat may not be sufficient if Q3 guidance suggests momentum is peaking. Management said in April that:</w:t>
      </w:r>
    </w:p>
    <w:p>
      <w:pPr>
        <w:pStyle w:val="Compact"/>
        <w:numPr>
          <w:ilvl w:val="0"/>
          <w:numId w:val="1005"/>
        </w:numPr>
      </w:pPr>
      <w:r>
        <w:t xml:space="preserve">Direct orders and distributor backlog were strengthening</w:t>
      </w:r>
    </w:p>
    <w:p>
      <w:pPr>
        <w:pStyle w:val="Compact"/>
        <w:numPr>
          <w:ilvl w:val="0"/>
          <w:numId w:val="1005"/>
        </w:numPr>
      </w:pPr>
      <w:r>
        <w:t xml:space="preserve">Growth should continue into the second half</w:t>
      </w:r>
    </w:p>
    <w:p>
      <w:pPr>
        <w:pStyle w:val="Compact"/>
        <w:numPr>
          <w:ilvl w:val="0"/>
          <w:numId w:val="1005"/>
        </w:numPr>
      </w:pPr>
      <w:r>
        <w:t xml:space="preserve">Front-end utilization should improve from the low-80% range in the first half to the mid-80% range in the second half</w:t>
      </w:r>
    </w:p>
    <w:p>
      <w:pPr>
        <w:pStyle w:val="Compact"/>
        <w:numPr>
          <w:ilvl w:val="0"/>
          <w:numId w:val="1005"/>
        </w:numPr>
      </w:pPr>
      <w:r>
        <w:t xml:space="preserve">NXP remained confident in its 2027 targets</w:t>
      </w:r>
    </w:p>
    <w:p>
      <w:pPr>
        <w:pStyle w:val="FirstParagraph"/>
      </w:pPr>
      <w:r>
        <w:t xml:space="preserve">The market will therefore look for a Q3 outlook showing:</w:t>
      </w:r>
    </w:p>
    <w:p>
      <w:pPr>
        <w:pStyle w:val="Compact"/>
        <w:numPr>
          <w:ilvl w:val="0"/>
          <w:numId w:val="1006"/>
        </w:numPr>
      </w:pPr>
      <w:r>
        <w:t xml:space="preserve">Continued YoY growth across all major end markets</w:t>
      </w:r>
    </w:p>
    <w:p>
      <w:pPr>
        <w:pStyle w:val="Compact"/>
        <w:numPr>
          <w:ilvl w:val="0"/>
          <w:numId w:val="1006"/>
        </w:numPr>
      </w:pPr>
      <w:r>
        <w:t xml:space="preserve">Automotive growth supported by content rather than inventory replenishment</w:t>
      </w:r>
    </w:p>
    <w:p>
      <w:pPr>
        <w:pStyle w:val="Compact"/>
        <w:numPr>
          <w:ilvl w:val="0"/>
          <w:numId w:val="1006"/>
        </w:numPr>
      </w:pPr>
      <w:r>
        <w:t xml:space="preserve">Industrial &amp; IoT remaining well above normalized company growth</w:t>
      </w:r>
    </w:p>
    <w:p>
      <w:pPr>
        <w:pStyle w:val="Compact"/>
        <w:numPr>
          <w:ilvl w:val="0"/>
          <w:numId w:val="1006"/>
        </w:numPr>
      </w:pPr>
      <w:r>
        <w:t xml:space="preserve">Further gross-margin expansion or, at minimum, stability near 58%</w:t>
      </w:r>
    </w:p>
    <w:p>
      <w:pPr>
        <w:pStyle w:val="Compact"/>
        <w:numPr>
          <w:ilvl w:val="0"/>
          <w:numId w:val="1006"/>
        </w:numPr>
      </w:pPr>
      <w:r>
        <w:t xml:space="preserve">Reaffirmation of double-digit revenue growth in 2026 and 2027</w:t>
      </w:r>
    </w:p>
    <w:p>
      <w:pPr>
        <w:pStyle w:val="FirstParagraph"/>
      </w:pPr>
      <w:r>
        <w:t xml:space="preserve">A cautious guide blamed on macro conditions, China auto weakness or customer inventories would challenge management’s company-specific growth narrative.</w:t>
      </w:r>
    </w:p>
    <w:bookmarkEnd w:id="17"/>
    <w:bookmarkStart w:id="18" w:name="margins-pricing-and-inventories"/>
    <w:p>
      <w:pPr>
        <w:pStyle w:val="Heading2"/>
      </w:pPr>
      <w:r>
        <w:t xml:space="preserve">Margins, pricing and inventories</w:t>
      </w:r>
    </w:p>
    <w:p>
      <w:pPr>
        <w:pStyle w:val="FirstParagraph"/>
      </w:pPr>
      <w:r>
        <w:t xml:space="preserve">Gross margin is almost as important as revenue. NXP guided to</w:t>
      </w:r>
      <w:r>
        <w:t xml:space="preserve"> </w:t>
      </w:r>
      <w:r>
        <w:rPr>
          <w:b/>
          <w:bCs/>
        </w:rPr>
        <w:t xml:space="preserve">58.0%</w:t>
      </w:r>
      <w:r>
        <w:t xml:space="preserve">, up 90 basis points sequentially, based on higher volume, favorable mix and improved factory utilization.</w:t>
      </w:r>
    </w:p>
    <w:p>
      <w:pPr>
        <w:pStyle w:val="BodyText"/>
      </w:pPr>
      <w:r>
        <w:t xml:space="preserve">Key issues include: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Input-cost inflation:</w:t>
      </w:r>
      <w:r>
        <w:t xml:space="preserve"> </w:t>
      </w:r>
      <w:r>
        <w:t xml:space="preserve">Management previously acknowledged selective foundry and supply-chain cost pressure.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Pricing:</w:t>
      </w:r>
      <w:r>
        <w:t xml:space="preserve"> </w:t>
      </w:r>
      <w:r>
        <w:t xml:space="preserve">NXP was implementing targeted price increases, although the expected Q2 benefit was described as immaterial.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Utilization:</w:t>
      </w:r>
      <w:r>
        <w:t xml:space="preserve"> </w:t>
      </w:r>
      <w:r>
        <w:t xml:space="preserve">Better front-end loading should provide operating leverage.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Mix:</w:t>
      </w:r>
      <w:r>
        <w:t xml:space="preserve"> </w:t>
      </w:r>
      <w:r>
        <w:t xml:space="preserve">Data-center control products and newer industrial processors should be favorable.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Long-term manufacturing strategy:</w:t>
      </w:r>
      <w:r>
        <w:t xml:space="preserve"> </w:t>
      </w:r>
      <w:r>
        <w:t xml:space="preserve">NXP continues to target approximately 200 basis points of structural margin benefit once its manufacturing transition is fully operational, primarily from 2028 onward.</w:t>
      </w:r>
    </w:p>
    <w:p>
      <w:pPr>
        <w:pStyle w:val="FirstParagraph"/>
      </w:pPr>
      <w:r>
        <w:t xml:space="preserve">Channel inventory reached NXP’s long-term target of</w:t>
      </w:r>
      <w:r>
        <w:t xml:space="preserve"> </w:t>
      </w:r>
      <w:r>
        <w:rPr>
          <w:b/>
          <w:bCs/>
        </w:rPr>
        <w:t xml:space="preserve">11 weeks</w:t>
      </w:r>
      <w:r>
        <w:t xml:space="preserve"> </w:t>
      </w:r>
      <w:r>
        <w:t xml:space="preserve">in Q1, while company inventory was 165 days, including seven days of planned prebuilds. Investors should be comfortable if channel inventory remains around 11 weeks and growth is supported by sell-through. A further increase without corresponding demand strength would be a warning sign.</w:t>
      </w:r>
    </w:p>
    <w:bookmarkEnd w:id="18"/>
    <w:bookmarkStart w:id="19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NXPI closed July 27 at approximately</w:t>
      </w:r>
      <w:r>
        <w:t xml:space="preserve"> </w:t>
      </w:r>
      <w:r>
        <w:rPr>
          <w:b/>
          <w:bCs/>
        </w:rPr>
        <w:t xml:space="preserve">$267.71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The stock jumped about</w:t>
      </w:r>
      <w:r>
        <w:t xml:space="preserve"> </w:t>
      </w:r>
      <w:r>
        <w:rPr>
          <w:b/>
          <w:bCs/>
        </w:rPr>
        <w:t xml:space="preserve">26%</w:t>
      </w:r>
      <w:r>
        <w:t xml:space="preserve"> </w:t>
      </w:r>
      <w:r>
        <w:t xml:space="preserve">immediately following the April report.</w:t>
      </w:r>
    </w:p>
    <w:p>
      <w:pPr>
        <w:pStyle w:val="Compact"/>
        <w:numPr>
          <w:ilvl w:val="0"/>
          <w:numId w:val="1008"/>
        </w:numPr>
      </w:pPr>
      <w:r>
        <w:t xml:space="preserve">It remains roughly</w:t>
      </w:r>
      <w:r>
        <w:t xml:space="preserve"> </w:t>
      </w:r>
      <w:r>
        <w:rPr>
          <w:b/>
          <w:bCs/>
        </w:rPr>
        <w:t xml:space="preserve">16% above</w:t>
      </w:r>
      <w:r>
        <w:t xml:space="preserve"> </w:t>
      </w:r>
      <w:r>
        <w:t xml:space="preserve">its April 28 close.</w:t>
      </w:r>
    </w:p>
    <w:p>
      <w:pPr>
        <w:pStyle w:val="Compact"/>
        <w:numPr>
          <w:ilvl w:val="0"/>
          <w:numId w:val="1008"/>
        </w:numPr>
      </w:pPr>
      <w:r>
        <w:t xml:space="preserve">However, it has declined approximately</w:t>
      </w:r>
      <w:r>
        <w:t xml:space="preserve"> </w:t>
      </w:r>
      <w:r>
        <w:rPr>
          <w:b/>
          <w:bCs/>
        </w:rPr>
        <w:t xml:space="preserve">20% from its late-May high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Its performance since the prior report is slightly behind the broader semiconductor ETF.</w:t>
      </w:r>
    </w:p>
    <w:p>
      <w:pPr>
        <w:pStyle w:val="FirstParagraph"/>
      </w:pPr>
      <w:r>
        <w:t xml:space="preserve">This leaves a more balanced setup than immediately after Q1: expectations are clearly higher than they were in April, but the recent pullback reduces the risk that a merely in-line result is punished solely because of positioning.</w:t>
      </w:r>
    </w:p>
    <w:bookmarkEnd w:id="19"/>
    <w:bookmarkStart w:id="23" w:name="bull-base-and-bear-outcomes"/>
    <w:p>
      <w:pPr>
        <w:pStyle w:val="Heading2"/>
      </w:pPr>
      <w:r>
        <w:t xml:space="preserve">Bull, base and bear outcomes</w:t>
      </w:r>
    </w:p>
    <w:bookmarkStart w:id="20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9"/>
        </w:numPr>
      </w:pPr>
      <w:r>
        <w:t xml:space="preserve">Revenue above roughly</w:t>
      </w:r>
      <w:r>
        <w:t xml:space="preserve"> </w:t>
      </w:r>
      <w:r>
        <w:rPr>
          <w:b/>
          <w:bCs/>
        </w:rPr>
        <w:t xml:space="preserve">$3.50B</w:t>
      </w:r>
    </w:p>
    <w:p>
      <w:pPr>
        <w:pStyle w:val="Compact"/>
        <w:numPr>
          <w:ilvl w:val="0"/>
          <w:numId w:val="1009"/>
        </w:numPr>
      </w:pPr>
      <w:r>
        <w:t xml:space="preserve">Gross margin at or above</w:t>
      </w:r>
      <w:r>
        <w:t xml:space="preserve"> </w:t>
      </w:r>
      <w:r>
        <w:rPr>
          <w:b/>
          <w:bCs/>
        </w:rPr>
        <w:t xml:space="preserve">58%</w:t>
      </w:r>
    </w:p>
    <w:p>
      <w:pPr>
        <w:pStyle w:val="Compact"/>
        <w:numPr>
          <w:ilvl w:val="0"/>
          <w:numId w:val="1009"/>
        </w:numPr>
      </w:pPr>
      <w:r>
        <w:t xml:space="preserve">EPS comfortably above consensus</w:t>
      </w:r>
    </w:p>
    <w:p>
      <w:pPr>
        <w:pStyle w:val="Compact"/>
        <w:numPr>
          <w:ilvl w:val="0"/>
          <w:numId w:val="1009"/>
        </w:numPr>
      </w:pPr>
      <w:r>
        <w:t xml:space="preserve">Q3 guidance demonstrates continued sequential and YoY growth</w:t>
      </w:r>
    </w:p>
    <w:p>
      <w:pPr>
        <w:pStyle w:val="Compact"/>
        <w:numPr>
          <w:ilvl w:val="0"/>
          <w:numId w:val="1009"/>
        </w:numPr>
      </w:pPr>
      <w:r>
        <w:t xml:space="preserve">Industrial and data-center ramps exceed expectations</w:t>
      </w:r>
    </w:p>
    <w:p>
      <w:pPr>
        <w:pStyle w:val="Compact"/>
        <w:numPr>
          <w:ilvl w:val="0"/>
          <w:numId w:val="1009"/>
        </w:numPr>
      </w:pPr>
      <w:r>
        <w:t xml:space="preserve">Automotive remains strong across regions despite weak production headlines</w:t>
      </w:r>
    </w:p>
    <w:p>
      <w:pPr>
        <w:pStyle w:val="Compact"/>
        <w:numPr>
          <w:ilvl w:val="0"/>
          <w:numId w:val="1009"/>
        </w:numPr>
      </w:pPr>
      <w:r>
        <w:t xml:space="preserve">Management raises or strengthens its 2026 commentary</w:t>
      </w:r>
    </w:p>
    <w:p>
      <w:pPr>
        <w:pStyle w:val="FirstParagraph"/>
      </w:pPr>
      <w:r>
        <w:t xml:space="preserve">This would reinforce the argument that NXP deserves to be valued as a structural content-growth story rather than a conventional cyclical auto semiconductor supplier.</w:t>
      </w:r>
    </w:p>
    <w:bookmarkEnd w:id="20"/>
    <w:bookmarkStart w:id="21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0"/>
        </w:numPr>
      </w:pPr>
      <w:r>
        <w:t xml:space="preserve">Revenue and EPS close to consensus</w:t>
      </w:r>
    </w:p>
    <w:p>
      <w:pPr>
        <w:pStyle w:val="Compact"/>
        <w:numPr>
          <w:ilvl w:val="0"/>
          <w:numId w:val="1010"/>
        </w:numPr>
      </w:pPr>
      <w:r>
        <w:t xml:space="preserve">Gross margin around 58%</w:t>
      </w:r>
    </w:p>
    <w:p>
      <w:pPr>
        <w:pStyle w:val="Compact"/>
        <w:numPr>
          <w:ilvl w:val="0"/>
          <w:numId w:val="1010"/>
        </w:numPr>
      </w:pPr>
      <w:r>
        <w:t xml:space="preserve">Q3 guidance broadly consistent with continued second-half growth</w:t>
      </w:r>
    </w:p>
    <w:p>
      <w:pPr>
        <w:pStyle w:val="Compact"/>
        <w:numPr>
          <w:ilvl w:val="0"/>
          <w:numId w:val="1010"/>
        </w:numPr>
      </w:pPr>
      <w:r>
        <w:t xml:space="preserve">2026 and 2027 targets reaffirmed</w:t>
      </w:r>
    </w:p>
    <w:p>
      <w:pPr>
        <w:pStyle w:val="Compact"/>
        <w:numPr>
          <w:ilvl w:val="0"/>
          <w:numId w:val="1010"/>
        </w:numPr>
      </w:pPr>
      <w:r>
        <w:t xml:space="preserve">No material inventory or pricing concerns</w:t>
      </w:r>
    </w:p>
    <w:p>
      <w:pPr>
        <w:pStyle w:val="FirstParagraph"/>
      </w:pPr>
      <w:r>
        <w:t xml:space="preserve">The likely reaction would depend on the exact Q3 midpoint and management’s confidence level.</w:t>
      </w:r>
    </w:p>
    <w:bookmarkEnd w:id="21"/>
    <w:bookmarkStart w:id="22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1"/>
        </w:numPr>
      </w:pPr>
      <w:r>
        <w:t xml:space="preserve">Revenue below roughly</w:t>
      </w:r>
      <w:r>
        <w:t xml:space="preserve"> </w:t>
      </w:r>
      <w:r>
        <w:rPr>
          <w:b/>
          <w:bCs/>
        </w:rPr>
        <w:t xml:space="preserve">$3.40B</w:t>
      </w:r>
    </w:p>
    <w:p>
      <w:pPr>
        <w:pStyle w:val="Compact"/>
        <w:numPr>
          <w:ilvl w:val="0"/>
          <w:numId w:val="1011"/>
        </w:numPr>
      </w:pPr>
      <w:r>
        <w:t xml:space="preserve">Gross margin slips below the guidance range</w:t>
      </w:r>
    </w:p>
    <w:p>
      <w:pPr>
        <w:pStyle w:val="Compact"/>
        <w:numPr>
          <w:ilvl w:val="0"/>
          <w:numId w:val="1011"/>
        </w:numPr>
      </w:pPr>
      <w:r>
        <w:t xml:space="preserve">Automotive growth slows materially or China commentary deteriorates</w:t>
      </w:r>
    </w:p>
    <w:p>
      <w:pPr>
        <w:pStyle w:val="Compact"/>
        <w:numPr>
          <w:ilvl w:val="0"/>
          <w:numId w:val="1011"/>
        </w:numPr>
      </w:pPr>
      <w:r>
        <w:t xml:space="preserve">Industrial strength proves heavily inventory-driven</w:t>
      </w:r>
    </w:p>
    <w:p>
      <w:pPr>
        <w:pStyle w:val="Compact"/>
        <w:numPr>
          <w:ilvl w:val="0"/>
          <w:numId w:val="1011"/>
        </w:numPr>
      </w:pPr>
      <w:r>
        <w:t xml:space="preserve">Channel inventory rises above 11 weeks</w:t>
      </w:r>
    </w:p>
    <w:p>
      <w:pPr>
        <w:pStyle w:val="Compact"/>
        <w:numPr>
          <w:ilvl w:val="0"/>
          <w:numId w:val="1011"/>
        </w:numPr>
      </w:pPr>
      <w:r>
        <w:t xml:space="preserve">Q3 guidance implies the first half was the peak growth period</w:t>
      </w:r>
    </w:p>
    <w:p>
      <w:pPr>
        <w:pStyle w:val="Compact"/>
        <w:numPr>
          <w:ilvl w:val="0"/>
          <w:numId w:val="1011"/>
        </w:numPr>
      </w:pPr>
      <w:r>
        <w:t xml:space="preserve">Management qualifies its double-digit 2026–2027 outlook</w:t>
      </w:r>
    </w:p>
    <w:p>
      <w:pPr>
        <w:pStyle w:val="FirstParagraph"/>
      </w:pPr>
      <w:r>
        <w:t xml:space="preserve">The greatest downside risk is not a minor Q2 miss; it is evidence that NXP’s recovery is more cyclical and less company-specific than management has argued.</w:t>
      </w:r>
    </w:p>
    <w:bookmarkEnd w:id="22"/>
    <w:bookmarkEnd w:id="23"/>
    <w:bookmarkStart w:id="24" w:name="questions-investors-should-want-answered"/>
    <w:p>
      <w:pPr>
        <w:pStyle w:val="Heading2"/>
      </w:pPr>
      <w:r>
        <w:t xml:space="preserve">Questions investors should want answered</w:t>
      </w:r>
    </w:p>
    <w:p>
      <w:pPr>
        <w:pStyle w:val="Compact"/>
        <w:numPr>
          <w:ilvl w:val="0"/>
          <w:numId w:val="1012"/>
        </w:numPr>
      </w:pPr>
      <w:r>
        <w:t xml:space="preserve">How much of Q2 growth came from end demand versus customer or distributor inventory rebuilding?</w:t>
      </w:r>
    </w:p>
    <w:p>
      <w:pPr>
        <w:pStyle w:val="Compact"/>
        <w:numPr>
          <w:ilvl w:val="0"/>
          <w:numId w:val="1012"/>
        </w:numPr>
      </w:pPr>
      <w:r>
        <w:t xml:space="preserve">Is automotive semiconductor content still offsetting weaker vehicle production in every major region?</w:t>
      </w:r>
    </w:p>
    <w:p>
      <w:pPr>
        <w:pStyle w:val="Compact"/>
        <w:numPr>
          <w:ilvl w:val="0"/>
          <w:numId w:val="1012"/>
        </w:numPr>
      </w:pPr>
      <w:r>
        <w:t xml:space="preserve">Is 2026 data-center revenue still expected to exceed $500M, and what is the trajectory into 2027?</w:t>
      </w:r>
    </w:p>
    <w:p>
      <w:pPr>
        <w:pStyle w:val="Compact"/>
        <w:numPr>
          <w:ilvl w:val="0"/>
          <w:numId w:val="1012"/>
        </w:numPr>
      </w:pPr>
      <w:r>
        <w:t xml:space="preserve">Can Industrial &amp; IoT sustain above-market growth after the initial cyclical recovery?</w:t>
      </w:r>
    </w:p>
    <w:p>
      <w:pPr>
        <w:pStyle w:val="Compact"/>
        <w:numPr>
          <w:ilvl w:val="0"/>
          <w:numId w:val="1012"/>
        </w:numPr>
      </w:pPr>
      <w:r>
        <w:t xml:space="preserve">How much gross-margin benefit is coming from utilization, product mix and pricing, respectively?</w:t>
      </w:r>
    </w:p>
    <w:p>
      <w:pPr>
        <w:pStyle w:val="Compact"/>
        <w:numPr>
          <w:ilvl w:val="0"/>
          <w:numId w:val="1012"/>
        </w:numPr>
      </w:pPr>
      <w:r>
        <w:t xml:space="preserve">Are foundry and other input-cost pressures worsening?</w:t>
      </w:r>
    </w:p>
    <w:p>
      <w:pPr>
        <w:pStyle w:val="Compact"/>
        <w:numPr>
          <w:ilvl w:val="0"/>
          <w:numId w:val="1012"/>
        </w:numPr>
      </w:pPr>
      <w:r>
        <w:t xml:space="preserve">Will channel inventory remain at approximately 11 weeks?</w:t>
      </w:r>
    </w:p>
    <w:p>
      <w:pPr>
        <w:pStyle w:val="Compact"/>
        <w:numPr>
          <w:ilvl w:val="0"/>
          <w:numId w:val="1012"/>
        </w:numPr>
      </w:pPr>
      <w:r>
        <w:t xml:space="preserve">Does current backlog support double-digit company growth in both 2026 and 2027?</w:t>
      </w:r>
    </w:p>
    <w:p>
      <w:pPr>
        <w:pStyle w:val="Compact"/>
        <w:numPr>
          <w:ilvl w:val="0"/>
          <w:numId w:val="1012"/>
        </w:numPr>
      </w:pPr>
      <w:r>
        <w:t xml:space="preserve">Are the TTTech, Aviva Links and Kinara integrations progressing on schedule?</w:t>
      </w:r>
    </w:p>
    <w:p>
      <w:pPr>
        <w:pStyle w:val="Compact"/>
        <w:numPr>
          <w:ilvl w:val="0"/>
          <w:numId w:val="1012"/>
        </w:numPr>
      </w:pPr>
      <w:r>
        <w:t xml:space="preserve">How should investors think about capital returns given joint-venture investments and recent debt repayment?</w:t>
      </w:r>
    </w:p>
    <w:bookmarkEnd w:id="24"/>
    <w:bookmarkStart w:id="25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NXP should be able to deliver a solid Q2 near its</w:t>
      </w:r>
      <w:r>
        <w:t xml:space="preserve"> </w:t>
      </w:r>
      <w:r>
        <w:rPr>
          <w:b/>
          <w:bCs/>
        </w:rPr>
        <w:t xml:space="preserve">$3.45B revenue, 58% gross-margin and $3.50 non-GAAP EPS</w:t>
      </w:r>
      <w:r>
        <w:t xml:space="preserve"> </w:t>
      </w:r>
      <w:r>
        <w:t xml:space="preserve">targets. The quarter’s segment mix—particularly Industrial &amp; IoT and data-center-related products—also appears supportive.</w:t>
      </w:r>
    </w:p>
    <w:p>
      <w:pPr>
        <w:pStyle w:val="BodyText"/>
      </w:pPr>
      <w:r>
        <w:t xml:space="preserve">But the investment debate has moved beyond Q2 execution. The decisive issue is whether management can provide a Q3 outlook that validates sustained automotive content growth, a durable industrial recovery and continued margin expansion.</w:t>
      </w:r>
      <w:r>
        <w:t xml:space="preserve"> </w:t>
      </w:r>
      <w:r>
        <w:rPr>
          <w:b/>
          <w:bCs/>
        </w:rPr>
        <w:t xml:space="preserve">A beat-and-maintain report may be adequate after the stock’s recent pullback, but meaningful upside likely requires a beat-and-raise with stronger second-half visibility.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2026-07-28T01:10:12Z</dcterms:created>
  <dcterms:modified xsi:type="dcterms:W3CDTF">2026-07-28T01:10:12Z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