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nxpi-2q26-earnings-preview"/>
    <w:p>
      <w:pPr>
        <w:pStyle w:val="Heading1"/>
      </w:pPr>
      <w:r>
        <w:t xml:space="preserve">NXPI 2Q26 Earnings Preview</w:t>
      </w:r>
    </w:p>
    <w:p>
      <w:pPr>
        <w:pStyle w:val="BlockText"/>
      </w:pPr>
      <w:r>
        <w:rPr>
          <w:b/>
          <w:bCs/>
        </w:rPr>
        <w:t xml:space="preserve">Timing clarification:</w:t>
      </w:r>
      <w:r>
        <w:t xml:space="preserve"> </w:t>
      </w:r>
      <w:r>
        <w:t xml:space="preserve">NXP is scheduled to report</w:t>
      </w:r>
      <w:r>
        <w:t xml:space="preserve"> </w:t>
      </w:r>
      <w:r>
        <w:rPr>
          <w:b/>
          <w:bCs/>
        </w:rPr>
        <w:t xml:space="preserve">after the U.S. market close on Tuesday, July 28, 2026</w:t>
      </w:r>
      <w:r>
        <w:t xml:space="preserve">, with its 2Q26 earnings call associated with that release. In other words, the event is</w:t>
      </w:r>
      <w:r>
        <w:t xml:space="preserve"> </w:t>
      </w:r>
      <w:r>
        <w:rPr>
          <w:b/>
          <w:bCs/>
        </w:rPr>
        <w:t xml:space="preserve">today</w:t>
      </w:r>
      <w:r>
        <w:t xml:space="preserve">, not tomorrow.</w:t>
      </w:r>
    </w:p>
    <w:bookmarkStart w:id="9" w:name="bottom-line"/>
    <w:p>
      <w:pPr>
        <w:pStyle w:val="Heading2"/>
      </w:pPr>
      <w:r>
        <w:t xml:space="preserve">Bottom line</w:t>
      </w:r>
    </w:p>
    <w:p>
      <w:pPr>
        <w:pStyle w:val="FirstParagraph"/>
      </w:pPr>
      <w:r>
        <w:t xml:space="preserve">NXP enters 2Q26 with a</w:t>
      </w:r>
      <w:r>
        <w:t xml:space="preserve"> </w:t>
      </w:r>
      <w:r>
        <w:rPr>
          <w:b/>
          <w:bCs/>
        </w:rPr>
        <w:t xml:space="preserve">highly constructive fundamental setup but a more demanding forward-expectations test</w:t>
      </w:r>
      <w:r>
        <w:t xml:space="preserve">. Management’s April outlook called for $3.45 billion of revenue, 58% non-GAAP gross margin, and</w:t>
      </w:r>
      <w:r>
        <w:t xml:space="preserve"> </w:t>
      </w:r>
      <m:oMath>
        <m:r>
          <m:t>3.50</m:t>
        </m:r>
        <m:r>
          <m:t>o</m:t>
        </m:r>
        <m:r>
          <m:t>f</m:t>
        </m:r>
        <m:r>
          <m:t>n</m:t>
        </m:r>
        <m:r>
          <m:t>o</m:t>
        </m:r>
        <m:r>
          <m:t>n</m:t>
        </m:r>
        <m:r>
          <m:rPr>
            <m:sty m:val="p"/>
          </m:rPr>
          <m:t>−</m:t>
        </m:r>
        <m:r>
          <m:t>G</m:t>
        </m:r>
        <m:r>
          <m:t>A</m:t>
        </m:r>
        <m:r>
          <m:t>A</m:t>
        </m:r>
        <m:r>
          <m:t>P</m:t>
        </m:r>
        <m:r>
          <m:t>E</m:t>
        </m:r>
        <m:r>
          <m:t>P</m:t>
        </m:r>
        <m:r>
          <m:t>S</m:t>
        </m:r>
        <m:r>
          <m:t>a</m:t>
        </m:r>
        <m:r>
          <m:t>t</m:t>
        </m:r>
        <m:r>
          <m:t>t</m:t>
        </m:r>
        <m:r>
          <m:t>h</m:t>
        </m:r>
        <m:r>
          <m:t>e</m:t>
        </m:r>
        <m:r>
          <m:t>m</m:t>
        </m:r>
        <m:r>
          <m:t>i</m:t>
        </m:r>
        <m:r>
          <m:t>d</m:t>
        </m:r>
        <m:r>
          <m:t>p</m:t>
        </m:r>
        <m:r>
          <m:t>o</m:t>
        </m:r>
        <m:r>
          <m:t>i</m:t>
        </m:r>
        <m:r>
          <m:t>n</m:t>
        </m:r>
        <m:r>
          <m:t>t</m:t>
        </m:r>
        <m:r>
          <m:rPr>
            <m:sty m:val="p"/>
          </m:rPr>
          <m:t>.</m:t>
        </m:r>
        <m:r>
          <m:t>R</m:t>
        </m:r>
        <m:r>
          <m:t>e</m:t>
        </m:r>
        <m:r>
          <m:t>p</m:t>
        </m:r>
        <m:r>
          <m:t>o</m:t>
        </m:r>
        <m:r>
          <m:t>r</m:t>
        </m:r>
        <m:r>
          <m:t>t</m:t>
        </m:r>
        <m:r>
          <m:t>e</m:t>
        </m:r>
        <m:r>
          <m:t>d</m:t>
        </m:r>
        <m:r>
          <m:t>S</m:t>
        </m:r>
        <m:r>
          <m:t>t</m:t>
        </m:r>
        <m:r>
          <m:t>r</m:t>
        </m:r>
        <m:r>
          <m:t>e</m:t>
        </m:r>
        <m:r>
          <m:t>e</m:t>
        </m:r>
        <m:r>
          <m:t>t</m:t>
        </m:r>
        <m:r>
          <m:t>e</m:t>
        </m:r>
        <m:r>
          <m:t>x</m:t>
        </m:r>
        <m:r>
          <m:t>p</m:t>
        </m:r>
        <m:r>
          <m:t>e</m:t>
        </m:r>
        <m:r>
          <m:t>c</m:t>
        </m:r>
        <m:r>
          <m:t>t</m:t>
        </m:r>
        <m:r>
          <m:t>a</m:t>
        </m:r>
        <m:r>
          <m:t>t</m:t>
        </m:r>
        <m:r>
          <m:t>i</m:t>
        </m:r>
        <m:r>
          <m:t>o</m:t>
        </m:r>
        <m:r>
          <m:t>n</m:t>
        </m:r>
        <m:r>
          <m:t>s</m:t>
        </m:r>
        <m:r>
          <m:t>a</m:t>
        </m:r>
        <m:r>
          <m:t>r</m:t>
        </m:r>
        <m:r>
          <m:t>e</m:t>
        </m:r>
        <m:r>
          <m:t>m</m:t>
        </m:r>
        <m:r>
          <m:t>o</m:t>
        </m:r>
        <m:r>
          <m:t>d</m:t>
        </m:r>
        <m:r>
          <m:t>e</m:t>
        </m:r>
        <m:r>
          <m:t>s</m:t>
        </m:r>
        <m:r>
          <m:t>t</m:t>
        </m:r>
        <m:r>
          <m:t>l</m:t>
        </m:r>
        <m:r>
          <m:t>y</m:t>
        </m:r>
        <m:r>
          <m:t>a</m:t>
        </m:r>
        <m:r>
          <m:t>b</m:t>
        </m:r>
        <m:r>
          <m:t>o</m:t>
        </m:r>
        <m:r>
          <m:t>v</m:t>
        </m:r>
        <m:r>
          <m:t>e</m:t>
        </m:r>
        <m:r>
          <m:t>t</m:t>
        </m:r>
        <m:r>
          <m:t>h</m:t>
        </m:r>
        <m:r>
          <m:t>a</m:t>
        </m:r>
        <m:r>
          <m:t>t</m:t>
        </m:r>
        <m:r>
          <m:t>E</m:t>
        </m:r>
        <m:r>
          <m:t>P</m:t>
        </m:r>
        <m:r>
          <m:t>S</m:t>
        </m:r>
        <m:r>
          <m:t>m</m:t>
        </m:r>
        <m:r>
          <m:t>i</m:t>
        </m:r>
        <m:r>
          <m:t>d</m:t>
        </m:r>
        <m:r>
          <m:t>p</m:t>
        </m:r>
        <m:r>
          <m:t>o</m:t>
        </m:r>
        <m:r>
          <m:t>i</m:t>
        </m:r>
        <m:r>
          <m:t>n</m:t>
        </m:r>
        <m:r>
          <m:t>t</m:t>
        </m:r>
        <m:r>
          <m:t>a</m:t>
        </m:r>
        <m:r>
          <m:t>t</m:t>
        </m:r>
        <m:r>
          <m:rPr>
            <m:sty m:val="p"/>
          </m:rPr>
          <m:t>*</m:t>
        </m:r>
        <m:r>
          <m:rPr>
            <m:sty m:val="p"/>
          </m:rPr>
          <m:t>*</m:t>
        </m:r>
      </m:oMath>
      <w:r>
        <w:t xml:space="preserve">3.54**, while revenue expectations are essentially aligned with company guidance at roughly</w:t>
      </w:r>
      <w:r>
        <w:t xml:space="preserve"> </w:t>
      </w:r>
      <w:r>
        <w:rPr>
          <w:b/>
          <w:bCs/>
        </w:rPr>
        <w:t xml:space="preserve">$3.45 billion</w:t>
      </w:r>
      <w:r>
        <w:t xml:space="preserve">.</w:t>
      </w:r>
    </w:p>
    <w:p>
      <w:pPr>
        <w:pStyle w:val="BodyText"/>
      </w:pPr>
      <w:r>
        <w:t xml:space="preserve">The central issue is therefore unlikely to be whether NXP clears the published Q2 guide. Investors will be focused on whether the company can substantiate its prior assertion that momentum should</w:t>
      </w:r>
      <w:r>
        <w:t xml:space="preserve"> </w:t>
      </w:r>
      <w:r>
        <w:rPr>
          <w:b/>
          <w:bCs/>
        </w:rPr>
        <w:t xml:space="preserve">accelerate through the rest of 2026</w:t>
      </w:r>
      <w:r>
        <w:t xml:space="preserve">, particularly in automotive content, industrial/IoT, and newly disclosed data-center control-plane exposure.</w:t>
      </w:r>
    </w:p>
    <w:bookmarkEnd w:id="9"/>
    <w:bookmarkStart w:id="10" w:name="what-the-quarter-needs-to-deliver"/>
    <w:p>
      <w:pPr>
        <w:pStyle w:val="Heading2"/>
      </w:pPr>
      <w:r>
        <w:t xml:space="preserve">What the quarter needs to deliver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NXP’s 2Q26 midpoint guide</w:t>
            </w:r>
          </w:p>
        </w:tc>
        <w:tc>
          <w:tcPr/>
          <w:p>
            <w:pPr>
              <w:pStyle w:val="Compact"/>
            </w:pPr>
            <w:r>
              <w:t xml:space="preserve">Investor implication</w:t>
            </w:r>
          </w:p>
        </w:tc>
      </w:tr>
      <w:tr>
        <w:tc>
          <w:tcPr/>
          <w:p>
            <w:pPr>
              <w:pStyle w:val="Compact"/>
            </w:pPr>
            <w:r>
              <w:t xml:space="preserve">Revenue</w:t>
            </w:r>
          </w:p>
        </w:tc>
        <w:tc>
          <w:tcPr/>
          <w:p>
            <w:pPr>
              <w:pStyle w:val="Compact"/>
              <w:jc w:val="right"/>
            </w:pPr>
            <w:r>
              <w:rPr>
                <w:b/>
                <w:bCs/>
              </w:rPr>
              <w:t xml:space="preserve">$3.45B</w:t>
            </w:r>
          </w:p>
        </w:tc>
        <w:tc>
          <w:tcPr/>
          <w:p>
            <w:pPr>
              <w:pStyle w:val="Compact"/>
            </w:pPr>
            <w:r>
              <w:t xml:space="preserve">+8% QoQ and +18% YoY</w:t>
            </w:r>
          </w:p>
        </w:tc>
      </w:tr>
      <w:tr>
        <w:tc>
          <w:tcPr/>
          <w:p>
            <w:pPr>
              <w:pStyle w:val="Compact"/>
            </w:pPr>
            <w:r>
              <w:t xml:space="preserve">Non-GAAP gross margin</w:t>
            </w:r>
          </w:p>
        </w:tc>
        <w:tc>
          <w:tcPr/>
          <w:p>
            <w:pPr>
              <w:pStyle w:val="Compact"/>
              <w:jc w:val="right"/>
            </w:pPr>
            <w:r>
              <w:rPr>
                <w:b/>
                <w:bCs/>
              </w:rPr>
              <w:t xml:space="preserve">58.0%</w:t>
            </w:r>
          </w:p>
        </w:tc>
        <w:tc>
          <w:tcPr/>
          <w:p>
            <w:pPr>
              <w:pStyle w:val="Compact"/>
            </w:pPr>
            <w:r>
              <w:t xml:space="preserve">+90 bps QoQ; tests utilization and favorable mix</w:t>
            </w:r>
          </w:p>
        </w:tc>
      </w:tr>
      <w:tr>
        <w:tc>
          <w:tcPr/>
          <w:p>
            <w:pPr>
              <w:pStyle w:val="Compact"/>
            </w:pPr>
            <w:r>
              <w:t xml:space="preserve">Non-GAAP operating margin</w:t>
            </w:r>
          </w:p>
        </w:tc>
        <w:tc>
          <w:tcPr/>
          <w:p>
            <w:pPr>
              <w:pStyle w:val="Compact"/>
              <w:jc w:val="right"/>
            </w:pPr>
            <w:r>
              <w:rPr>
                <w:b/>
                <w:bCs/>
              </w:rPr>
              <w:t xml:space="preserve">34.7%</w:t>
            </w:r>
          </w:p>
        </w:tc>
        <w:tc>
          <w:tcPr/>
          <w:p>
            <w:pPr>
              <w:pStyle w:val="Compact"/>
            </w:pPr>
            <w:r>
              <w:t xml:space="preserve">Operating leverage despite higher opex</w:t>
            </w:r>
          </w:p>
        </w:tc>
      </w:tr>
      <w:tr>
        <w:tc>
          <w:tcPr/>
          <w:p>
            <w:pPr>
              <w:pStyle w:val="Compact"/>
            </w:pPr>
            <w:r>
              <w:t xml:space="preserve">Non-GAAP EPS</w:t>
            </w:r>
          </w:p>
        </w:tc>
        <w:tc>
          <w:tcPr/>
          <w:p>
            <w:pPr>
              <w:pStyle w:val="Compact"/>
              <w:jc w:val="right"/>
            </w:pPr>
            <w:r>
              <w:rPr>
                <w:b/>
                <w:bCs/>
              </w:rPr>
              <w:t xml:space="preserve">$3.50</w:t>
            </w:r>
          </w:p>
        </w:tc>
        <w:tc>
          <w:tcPr/>
          <w:p>
            <w:pPr>
              <w:pStyle w:val="Compact"/>
            </w:pPr>
            <w:r>
              <w:t xml:space="preserve">Street-reported expectation:</w:t>
            </w:r>
            <w:r>
              <w:t xml:space="preserve"> </w:t>
            </w:r>
            <w:r>
              <w:rPr>
                <w:b/>
                <w:bCs/>
              </w:rPr>
              <w:t xml:space="preserve">$3.54</w:t>
            </w:r>
          </w:p>
        </w:tc>
      </w:tr>
      <w:tr>
        <w:tc>
          <w:tcPr/>
          <w:p>
            <w:pPr>
              <w:pStyle w:val="Compact"/>
            </w:pPr>
            <w:r>
              <w:t xml:space="preserve">Non-GAAP operating expenses</w:t>
            </w:r>
          </w:p>
        </w:tc>
        <w:tc>
          <w:tcPr/>
          <w:p>
            <w:pPr>
              <w:pStyle w:val="Compact"/>
              <w:jc w:val="right"/>
            </w:pPr>
            <w:r>
              <w:rPr>
                <w:b/>
                <w:bCs/>
              </w:rPr>
              <w:t xml:space="preserve">$800M</w:t>
            </w:r>
          </w:p>
        </w:tc>
        <w:tc>
          <w:tcPr/>
          <w:p>
            <w:pPr>
              <w:pStyle w:val="Compact"/>
            </w:pPr>
            <w:r>
              <w:t xml:space="preserve">Includes annual RFID-license expense and merit increases</w:t>
            </w:r>
          </w:p>
        </w:tc>
      </w:tr>
    </w:tbl>
    <w:p>
      <w:pPr>
        <w:pStyle w:val="BodyText"/>
      </w:pPr>
      <w:r>
        <w:t xml:space="preserve">The small spread between the reported EPS expectation and the company’s midpoint guide—about</w:t>
      </w:r>
      <w:r>
        <w:t xml:space="preserve"> </w:t>
      </w:r>
      <w:r>
        <w:rPr>
          <w:b/>
          <w:bCs/>
        </w:rPr>
        <w:t xml:space="preserve">$0.04</w:t>
      </w:r>
      <w:r>
        <w:t xml:space="preserve">—suggests that the market is not simply underwriting a large Q2 beat. Instead, the reaction is likely to depend on the</w:t>
      </w:r>
      <w:r>
        <w:t xml:space="preserve"> </w:t>
      </w:r>
      <w:r>
        <w:rPr>
          <w:b/>
          <w:bCs/>
        </w:rPr>
        <w:t xml:space="preserve">magnitude and credibility of Q3 and second-half commentary</w:t>
      </w:r>
      <w:r>
        <w:t xml:space="preserve">.</w:t>
      </w:r>
    </w:p>
    <w:bookmarkEnd w:id="10"/>
    <w:bookmarkStart w:id="11" w:name="why-the-setup-is-different-this-quarter"/>
    <w:p>
      <w:pPr>
        <w:pStyle w:val="Heading2"/>
      </w:pPr>
      <w:r>
        <w:t xml:space="preserve">Why the setup is different this quarter</w:t>
      </w:r>
    </w:p>
    <w:p>
      <w:pPr>
        <w:pStyle w:val="FirstParagraph"/>
      </w:pPr>
      <w:r>
        <w:t xml:space="preserve">NXP’s 1Q26 report was a material inflection:</w:t>
      </w:r>
    </w:p>
    <w:p>
      <w:pPr>
        <w:pStyle w:val="Compact"/>
        <w:numPr>
          <w:ilvl w:val="0"/>
          <w:numId w:val="1001"/>
        </w:numPr>
      </w:pPr>
      <w:r>
        <w:t xml:space="preserve">Revenue rose</w:t>
      </w:r>
      <w:r>
        <w:t xml:space="preserve"> </w:t>
      </w:r>
      <w:r>
        <w:rPr>
          <w:b/>
          <w:bCs/>
        </w:rPr>
        <w:t xml:space="preserve">12% YoY</w:t>
      </w:r>
      <w:r>
        <w:t xml:space="preserve"> </w:t>
      </w:r>
      <w:r>
        <w:t xml:space="preserve">to $3.18 billion, with every end market growing year over year.</w:t>
      </w:r>
    </w:p>
    <w:p>
      <w:pPr>
        <w:pStyle w:val="Compact"/>
        <w:numPr>
          <w:ilvl w:val="0"/>
          <w:numId w:val="1001"/>
        </w:numPr>
      </w:pPr>
      <w:r>
        <w:t xml:space="preserve">Industrial &amp; IoT grew</w:t>
      </w:r>
      <w:r>
        <w:t xml:space="preserve"> </w:t>
      </w:r>
      <w:r>
        <w:rPr>
          <w:b/>
          <w:bCs/>
        </w:rPr>
        <w:t xml:space="preserve">24% YoY</w:t>
      </w:r>
      <w:r>
        <w:t xml:space="preserve">, communications infrastructure and other grew</w:t>
      </w:r>
      <w:r>
        <w:t xml:space="preserve"> </w:t>
      </w:r>
      <w:r>
        <w:rPr>
          <w:b/>
          <w:bCs/>
        </w:rPr>
        <w:t xml:space="preserve">21%</w:t>
      </w:r>
      <w:r>
        <w:t xml:space="preserve">, mobile grew</w:t>
      </w:r>
      <w:r>
        <w:t xml:space="preserve"> </w:t>
      </w:r>
      <w:r>
        <w:rPr>
          <w:b/>
          <w:bCs/>
        </w:rPr>
        <w:t xml:space="preserve">16%</w:t>
      </w:r>
      <w:r>
        <w:t xml:space="preserve">, and automotive grew</w:t>
      </w:r>
      <w:r>
        <w:t xml:space="preserve"> </w:t>
      </w:r>
      <w:r>
        <w:rPr>
          <w:b/>
          <w:bCs/>
        </w:rPr>
        <w:t xml:space="preserve">6%</w:t>
      </w:r>
      <w:r>
        <w:t xml:space="preserve"> </w:t>
      </w:r>
      <w:r>
        <w:t xml:space="preserve">reported—or</w:t>
      </w:r>
      <w:r>
        <w:t xml:space="preserve"> </w:t>
      </w:r>
      <w:r>
        <w:rPr>
          <w:b/>
          <w:bCs/>
        </w:rPr>
        <w:t xml:space="preserve">10% excluding the divested MEMS Sensors business</w:t>
      </w:r>
      <w:r>
        <w:t xml:space="preserve">.</w:t>
      </w:r>
    </w:p>
    <w:p>
      <w:pPr>
        <w:pStyle w:val="Compact"/>
        <w:numPr>
          <w:ilvl w:val="0"/>
          <w:numId w:val="1001"/>
        </w:numPr>
      </w:pPr>
      <w:r>
        <w:t xml:space="preserve">Management described the improved trajectory as increasingly company-specific, rather than merely a cyclical semiconductor recovery.</w:t>
      </w:r>
    </w:p>
    <w:p>
      <w:pPr>
        <w:pStyle w:val="Compact"/>
        <w:numPr>
          <w:ilvl w:val="0"/>
          <w:numId w:val="1001"/>
        </w:numPr>
      </w:pPr>
      <w:r>
        <w:t xml:space="preserve">The company disclosed that data-center-related revenue was roughly</w:t>
      </w:r>
      <w:r>
        <w:t xml:space="preserve"> </w:t>
      </w:r>
      <m:oMath>
        <m:r>
          <m:t>200</m:t>
        </m:r>
        <m:r>
          <m:t>m</m:t>
        </m:r>
        <m:r>
          <m:t>i</m:t>
        </m:r>
        <m:r>
          <m:t>l</m:t>
        </m:r>
        <m:r>
          <m:t>l</m:t>
        </m:r>
        <m:r>
          <m:t>i</m:t>
        </m:r>
        <m:r>
          <m:t>o</m:t>
        </m:r>
        <m:r>
          <m:t>n</m:t>
        </m:r>
        <m:r>
          <m:t>i</m:t>
        </m:r>
        <m:r>
          <m:t>n</m:t>
        </m:r>
        <m:r>
          <m:t>2025</m:t>
        </m:r>
        <m:r>
          <m:rPr>
            <m:sty m:val="p"/>
          </m:rPr>
          <m:t>*</m:t>
        </m:r>
        <m:r>
          <m:rPr>
            <m:sty m:val="p"/>
          </m:rPr>
          <m:t>*</m:t>
        </m:r>
        <m:r>
          <m:t>a</m:t>
        </m:r>
        <m:r>
          <m:t>n</m:t>
        </m:r>
        <m:r>
          <m:t>d</m:t>
        </m:r>
        <m:r>
          <m:t>c</m:t>
        </m:r>
        <m:r>
          <m:t>o</m:t>
        </m:r>
        <m:r>
          <m:t>u</m:t>
        </m:r>
        <m:r>
          <m:t>l</m:t>
        </m:r>
        <m:r>
          <m:t>d</m:t>
        </m:r>
        <m:r>
          <m:t>e</m:t>
        </m:r>
        <m:r>
          <m:t>x</m:t>
        </m:r>
        <m:r>
          <m:t>c</m:t>
        </m:r>
        <m:r>
          <m:t>e</m:t>
        </m:r>
        <m:r>
          <m:t>e</m:t>
        </m:r>
        <m:r>
          <m:t>d</m:t>
        </m:r>
        <m:r>
          <m:rPr>
            <m:sty m:val="p"/>
          </m:rPr>
          <m:t>*</m:t>
        </m:r>
        <m:r>
          <m:rPr>
            <m:sty m:val="p"/>
          </m:rPr>
          <m:t>*</m:t>
        </m:r>
      </m:oMath>
      <w:r>
        <w:rPr>
          <w:b/>
          <w:bCs/>
        </w:rPr>
        <w:t xml:space="preserve">500 million in 2026</w:t>
      </w:r>
      <w:r>
        <w:t xml:space="preserve">, centered on cooling, power, board management, security, and control-plane networking rather than GPUs or AI accelerators.</w:t>
      </w:r>
    </w:p>
    <w:p>
      <w:pPr>
        <w:pStyle w:val="Compact"/>
        <w:numPr>
          <w:ilvl w:val="0"/>
          <w:numId w:val="1001"/>
        </w:numPr>
      </w:pPr>
      <w:r>
        <w:t xml:space="preserve">Management also reaffirmed its 2027 Investor Day framework, which implies double-digit growth in both 2026 and 2027.</w:t>
      </w:r>
    </w:p>
    <w:p>
      <w:pPr>
        <w:pStyle w:val="FirstParagraph"/>
      </w:pPr>
      <w:r>
        <w:t xml:space="preserve">That is a compelling narrative—but it raises the burden of proof. Investors will want confirmation that the strong April outlook was not simply a one-quarter spike in channel replenishment or favorable comparables.</w:t>
      </w:r>
    </w:p>
    <w:bookmarkEnd w:id="11"/>
    <w:bookmarkStart w:id="15" w:name="X1e9f3f125e4c853ea9f48c0716e6a1f4112558b"/>
    <w:p>
      <w:pPr>
        <w:pStyle w:val="Heading2"/>
      </w:pPr>
      <w:r>
        <w:t xml:space="preserve">The revenue bridge: where Q2 growth should come from</w:t>
      </w:r>
    </w:p>
    <w:p>
      <w:pPr>
        <w:pStyle w:val="FirstParagraph"/>
      </w:pPr>
      <w:r>
        <w:t xml:space="preserve">Management’s qualitative segment outlook implies a broad-based increase from 1Q26:</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End market</w:t>
            </w:r>
          </w:p>
        </w:tc>
        <w:tc>
          <w:tcPr/>
          <w:p>
            <w:pPr>
              <w:pStyle w:val="Compact"/>
              <w:jc w:val="right"/>
            </w:pPr>
            <w:r>
              <w:t xml:space="preserve">1Q26 revenue</w:t>
            </w:r>
          </w:p>
        </w:tc>
        <w:tc>
          <w:tcPr/>
          <w:p>
            <w:pPr>
              <w:pStyle w:val="Compact"/>
            </w:pPr>
            <w:r>
              <w:t xml:space="preserve">2Q26 management outlook</w:t>
            </w:r>
          </w:p>
        </w:tc>
        <w:tc>
          <w:tcPr/>
          <w:p>
            <w:pPr>
              <w:pStyle w:val="Compact"/>
              <w:jc w:val="right"/>
            </w:pPr>
            <w:r>
              <w:t xml:space="preserve">Approximate 2Q26 implication*</w:t>
            </w:r>
          </w:p>
        </w:tc>
      </w:tr>
      <w:tr>
        <w:tc>
          <w:tcPr/>
          <w:p>
            <w:pPr>
              <w:pStyle w:val="Compact"/>
            </w:pPr>
            <w:r>
              <w:t xml:space="preserve">Automotive</w:t>
            </w:r>
          </w:p>
        </w:tc>
        <w:tc>
          <w:tcPr/>
          <w:p>
            <w:pPr>
              <w:pStyle w:val="Compact"/>
              <w:jc w:val="right"/>
            </w:pPr>
            <w:r>
              <w:t xml:space="preserve">$1.78B</w:t>
            </w:r>
          </w:p>
        </w:tc>
        <w:tc>
          <w:tcPr/>
          <w:p>
            <w:pPr>
              <w:pStyle w:val="Compact"/>
            </w:pPr>
            <w:r>
              <w:t xml:space="preserve">High-single-digit QoQ growth; low-double-digit YoY</w:t>
            </w:r>
          </w:p>
        </w:tc>
        <w:tc>
          <w:tcPr/>
          <w:p>
            <w:pPr>
              <w:pStyle w:val="Compact"/>
              <w:jc w:val="right"/>
            </w:pPr>
            <w:r>
              <w:t xml:space="preserve">~$1.9B</w:t>
            </w:r>
          </w:p>
        </w:tc>
      </w:tr>
      <w:tr>
        <w:tc>
          <w:tcPr/>
          <w:p>
            <w:pPr>
              <w:pStyle w:val="Compact"/>
            </w:pPr>
            <w:r>
              <w:t xml:space="preserve">Industrial &amp; IoT</w:t>
            </w:r>
          </w:p>
        </w:tc>
        <w:tc>
          <w:tcPr/>
          <w:p>
            <w:pPr>
              <w:pStyle w:val="Compact"/>
              <w:jc w:val="right"/>
            </w:pPr>
            <w:r>
              <w:t xml:space="preserve">$628M</w:t>
            </w:r>
          </w:p>
        </w:tc>
        <w:tc>
          <w:tcPr/>
          <w:p>
            <w:pPr>
              <w:pStyle w:val="Compact"/>
            </w:pPr>
            <w:r>
              <w:t xml:space="preserve">High-teens QoQ; high-30% YoY</w:t>
            </w:r>
          </w:p>
        </w:tc>
        <w:tc>
          <w:tcPr/>
          <w:p>
            <w:pPr>
              <w:pStyle w:val="Compact"/>
              <w:jc w:val="right"/>
            </w:pPr>
            <w:r>
              <w:t xml:space="preserve">~$0.74B</w:t>
            </w:r>
          </w:p>
        </w:tc>
      </w:tr>
      <w:tr>
        <w:tc>
          <w:tcPr/>
          <w:p>
            <w:pPr>
              <w:pStyle w:val="Compact"/>
            </w:pPr>
            <w:r>
              <w:t xml:space="preserve">Mobile</w:t>
            </w:r>
          </w:p>
        </w:tc>
        <w:tc>
          <w:tcPr/>
          <w:p>
            <w:pPr>
              <w:pStyle w:val="Compact"/>
              <w:jc w:val="right"/>
            </w:pPr>
            <w:r>
              <w:t xml:space="preserve">$391M</w:t>
            </w:r>
          </w:p>
        </w:tc>
        <w:tc>
          <w:tcPr/>
          <w:p>
            <w:pPr>
              <w:pStyle w:val="Compact"/>
            </w:pPr>
            <w:r>
              <w:t xml:space="preserve">Low-double-digit QoQ decline; low-single-digit YoY growth</w:t>
            </w:r>
          </w:p>
        </w:tc>
        <w:tc>
          <w:tcPr/>
          <w:p>
            <w:pPr>
              <w:pStyle w:val="Compact"/>
              <w:jc w:val="right"/>
            </w:pPr>
            <w:r>
              <w:t xml:space="preserve">~$0.35B</w:t>
            </w:r>
          </w:p>
        </w:tc>
      </w:tr>
      <w:tr>
        <w:tc>
          <w:tcPr/>
          <w:p>
            <w:pPr>
              <w:pStyle w:val="Compact"/>
            </w:pPr>
            <w:r>
              <w:t xml:space="preserve">Comm. infra. &amp; other</w:t>
            </w:r>
          </w:p>
        </w:tc>
        <w:tc>
          <w:tcPr/>
          <w:p>
            <w:pPr>
              <w:pStyle w:val="Compact"/>
              <w:jc w:val="right"/>
            </w:pPr>
            <w:r>
              <w:t xml:space="preserve">$380M</w:t>
            </w:r>
          </w:p>
        </w:tc>
        <w:tc>
          <w:tcPr/>
          <w:p>
            <w:pPr>
              <w:pStyle w:val="Compact"/>
            </w:pPr>
            <w:r>
              <w:t xml:space="preserve">Mid-teens QoQ; mid-30% YoY</w:t>
            </w:r>
          </w:p>
        </w:tc>
        <w:tc>
          <w:tcPr/>
          <w:p>
            <w:pPr>
              <w:pStyle w:val="Compact"/>
              <w:jc w:val="right"/>
            </w:pPr>
            <w:r>
              <w:t xml:space="preserve">~$0.44B</w:t>
            </w:r>
          </w:p>
        </w:tc>
      </w:tr>
      <w:tr>
        <w:tc>
          <w:tcPr/>
          <w:p>
            <w:pPr>
              <w:pStyle w:val="Compact"/>
            </w:pPr>
            <w:r>
              <w:rPr>
                <w:b/>
                <w:bCs/>
              </w:rPr>
              <w:t xml:space="preserve">Total</w:t>
            </w:r>
          </w:p>
        </w:tc>
        <w:tc>
          <w:tcPr/>
          <w:p>
            <w:pPr>
              <w:pStyle w:val="Compact"/>
              <w:jc w:val="right"/>
            </w:pPr>
            <w:r>
              <w:rPr>
                <w:b/>
                <w:bCs/>
              </w:rPr>
              <w:t xml:space="preserve">$3.18B</w:t>
            </w:r>
          </w:p>
        </w:tc>
        <w:tc>
          <w:tcPr/>
          <w:p>
            <w:pPr>
              <w:pStyle w:val="Compact"/>
            </w:pPr>
            <w:r>
              <w:rPr>
                <w:b/>
                <w:bCs/>
              </w:rPr>
              <w:t xml:space="preserve">+8% QoQ / +18% YoY</w:t>
            </w:r>
          </w:p>
        </w:tc>
        <w:tc>
          <w:tcPr/>
          <w:p>
            <w:pPr>
              <w:pStyle w:val="Compact"/>
              <w:jc w:val="right"/>
            </w:pPr>
            <w:r>
              <w:rPr>
                <w:b/>
                <w:bCs/>
              </w:rPr>
              <w:t xml:space="preserve">~$3.45B</w:t>
            </w:r>
          </w:p>
        </w:tc>
      </w:tr>
    </w:tbl>
    <w:p>
      <w:pPr>
        <w:pStyle w:val="BodyText"/>
      </w:pPr>
      <w:r>
        <w:t xml:space="preserve">*Approximate, based on management’s qualitative growth ranges rather than formal segment guidance.</w:t>
      </w:r>
    </w:p>
    <w:bookmarkStart w:id="12" w:name="X1422b7aa6afcb4589c8497dcfc7a3ab8eb556e5"/>
    <w:p>
      <w:pPr>
        <w:pStyle w:val="Heading3"/>
      </w:pPr>
      <w:r>
        <w:t xml:space="preserve">1. Automotive: content growth must overcome vehicle-production noise</w:t>
      </w:r>
    </w:p>
    <w:p>
      <w:pPr>
        <w:pStyle w:val="FirstParagraph"/>
      </w:pPr>
      <w:r>
        <w:t xml:space="preserve">Automotive remains NXP’s largest business and should be the most important determinant of whether the company’s growth is structural. Management has emphasized that the opportunity is driven by semiconductor content per vehicle—not simply global production volumes—via:</w:t>
      </w:r>
    </w:p>
    <w:p>
      <w:pPr>
        <w:pStyle w:val="Compact"/>
        <w:numPr>
          <w:ilvl w:val="0"/>
          <w:numId w:val="1002"/>
        </w:numPr>
      </w:pPr>
      <w:r>
        <w:t xml:space="preserve">software-defined vehicle architectures;</w:t>
      </w:r>
    </w:p>
    <w:p>
      <w:pPr>
        <w:pStyle w:val="Compact"/>
        <w:numPr>
          <w:ilvl w:val="0"/>
          <w:numId w:val="1002"/>
        </w:numPr>
      </w:pPr>
      <w:r>
        <w:t xml:space="preserve">S32N and S32K5 processing platforms;</w:t>
      </w:r>
    </w:p>
    <w:p>
      <w:pPr>
        <w:pStyle w:val="Compact"/>
        <w:numPr>
          <w:ilvl w:val="0"/>
          <w:numId w:val="1002"/>
        </w:numPr>
      </w:pPr>
      <w:r>
        <w:t xml:space="preserve">zonal and central compute;</w:t>
      </w:r>
    </w:p>
    <w:p>
      <w:pPr>
        <w:pStyle w:val="Compact"/>
        <w:numPr>
          <w:ilvl w:val="0"/>
          <w:numId w:val="1002"/>
        </w:numPr>
      </w:pPr>
      <w:r>
        <w:t xml:space="preserve">radar, automotive Ethernet, safety, security, and connectivity;</w:t>
      </w:r>
    </w:p>
    <w:p>
      <w:pPr>
        <w:pStyle w:val="Compact"/>
        <w:numPr>
          <w:ilvl w:val="0"/>
          <w:numId w:val="1002"/>
        </w:numPr>
      </w:pPr>
      <w:r>
        <w:t xml:space="preserve">faster next-generation architecture adoption in China.</w:t>
      </w:r>
    </w:p>
    <w:p>
      <w:pPr>
        <w:pStyle w:val="FirstParagraph"/>
      </w:pPr>
      <w:r>
        <w:t xml:space="preserve">The key watch item is whether automotive growth remains in the guided high-single-digit sequential range</w:t>
      </w:r>
      <w:r>
        <w:t xml:space="preserve"> </w:t>
      </w:r>
      <w:r>
        <w:rPr>
          <w:b/>
          <w:bCs/>
        </w:rPr>
        <w:t xml:space="preserve">without relying on pricing</w:t>
      </w:r>
      <w:r>
        <w:t xml:space="preserve">. Management characterized Q1/Q2 pricing benefits as immaterial, although it acknowledged selective price actions where input costs cannot be absorbed.</w:t>
      </w:r>
    </w:p>
    <w:bookmarkEnd w:id="12"/>
    <w:bookmarkStart w:id="13" w:name="X12e11493c52efbcda7bbeebd3ebc1157e6a0b0e"/>
    <w:p>
      <w:pPr>
        <w:pStyle w:val="Heading3"/>
      </w:pPr>
      <w:r>
        <w:t xml:space="preserve">2. Industrial &amp; IoT: the most important proof point</w:t>
      </w:r>
    </w:p>
    <w:p>
      <w:pPr>
        <w:pStyle w:val="FirstParagraph"/>
      </w:pPr>
      <w:r>
        <w:t xml:space="preserve">Industrial &amp; IoT appears positioned to be the standout segment, with management guiding to growth in the</w:t>
      </w:r>
      <w:r>
        <w:t xml:space="preserve"> </w:t>
      </w:r>
      <w:r>
        <w:rPr>
          <w:b/>
          <w:bCs/>
        </w:rPr>
        <w:t xml:space="preserve">high-30% range year over year</w:t>
      </w:r>
      <w:r>
        <w:t xml:space="preserve">. The underlying drivers are unusually broad:</w:t>
      </w:r>
    </w:p>
    <w:p>
      <w:pPr>
        <w:pStyle w:val="Compact"/>
        <w:numPr>
          <w:ilvl w:val="0"/>
          <w:numId w:val="1003"/>
        </w:numPr>
      </w:pPr>
      <w:r>
        <w:t xml:space="preserve">i.MX, RT, and MCX processing products;</w:t>
      </w:r>
    </w:p>
    <w:p>
      <w:pPr>
        <w:pStyle w:val="Compact"/>
        <w:numPr>
          <w:ilvl w:val="0"/>
          <w:numId w:val="1003"/>
        </w:numPr>
      </w:pPr>
      <w:r>
        <w:t xml:space="preserve">factory automation and energy storage;</w:t>
      </w:r>
    </w:p>
    <w:p>
      <w:pPr>
        <w:pStyle w:val="Compact"/>
        <w:numPr>
          <w:ilvl w:val="0"/>
          <w:numId w:val="1003"/>
        </w:numPr>
      </w:pPr>
      <w:r>
        <w:t xml:space="preserve">robotics and “physical AI” applications;</w:t>
      </w:r>
    </w:p>
    <w:p>
      <w:pPr>
        <w:pStyle w:val="Compact"/>
        <w:numPr>
          <w:ilvl w:val="0"/>
          <w:numId w:val="1003"/>
        </w:numPr>
      </w:pPr>
      <w:r>
        <w:t xml:space="preserve">edge processing, security, and connectivity;</w:t>
      </w:r>
    </w:p>
    <w:p>
      <w:pPr>
        <w:pStyle w:val="Compact"/>
        <w:numPr>
          <w:ilvl w:val="0"/>
          <w:numId w:val="1003"/>
        </w:numPr>
      </w:pPr>
      <w:r>
        <w:t xml:space="preserve">data-center-adjacent opportunities.</w:t>
      </w:r>
    </w:p>
    <w:p>
      <w:pPr>
        <w:pStyle w:val="FirstParagraph"/>
      </w:pPr>
      <w:r>
        <w:t xml:space="preserve">This business is also heavily channel-served. Distribution represented $1.86 billion of NXP’s 1Q revenue, and channel inventory increased to</w:t>
      </w:r>
      <w:r>
        <w:t xml:space="preserve"> </w:t>
      </w:r>
      <w:r>
        <w:rPr>
          <w:b/>
          <w:bCs/>
        </w:rPr>
        <w:t xml:space="preserve">11 weeks</w:t>
      </w:r>
      <w:r>
        <w:t xml:space="preserve">, management’s stated long-term target. The constructive interpretation is that inventory was deliberately raised to support robust demand; the risk is that investors may scrutinize whether inventory remains stable at 11 weeks, as guided, rather than moving higher.</w:t>
      </w:r>
    </w:p>
    <w:bookmarkEnd w:id="13"/>
    <w:bookmarkStart w:id="14" w:name="Xfba4692cd6846eec501f6035192aa44400e76e9"/>
    <w:p>
      <w:pPr>
        <w:pStyle w:val="Heading3"/>
      </w:pPr>
      <w:r>
        <w:t xml:space="preserve">3. Data centers: new upside narrative, but execution is now the question</w:t>
      </w:r>
    </w:p>
    <w:p>
      <w:pPr>
        <w:pStyle w:val="FirstParagraph"/>
      </w:pPr>
      <w:r>
        <w:t xml:space="preserve">NXP’s new data-center disclosure has helped broaden the investment case beyond autos and traditional industrial. The company expects data-center revenue to more than double in 2026, but its exposure is primarily to the</w:t>
      </w:r>
      <w:r>
        <w:t xml:space="preserve"> </w:t>
      </w:r>
      <w:r>
        <w:rPr>
          <w:b/>
          <w:bCs/>
        </w:rPr>
        <w:t xml:space="preserve">control plane</w:t>
      </w:r>
      <w:r>
        <w:t xml:space="preserve">:</w:t>
      </w:r>
    </w:p>
    <w:p>
      <w:pPr>
        <w:pStyle w:val="Compact"/>
        <w:numPr>
          <w:ilvl w:val="0"/>
          <w:numId w:val="1004"/>
        </w:numPr>
      </w:pPr>
      <w:r>
        <w:t xml:space="preserve">power systems;</w:t>
      </w:r>
    </w:p>
    <w:p>
      <w:pPr>
        <w:pStyle w:val="Compact"/>
        <w:numPr>
          <w:ilvl w:val="0"/>
          <w:numId w:val="1004"/>
        </w:numPr>
      </w:pPr>
      <w:r>
        <w:t xml:space="preserve">thermal management and cooling;</w:t>
      </w:r>
    </w:p>
    <w:p>
      <w:pPr>
        <w:pStyle w:val="Compact"/>
        <w:numPr>
          <w:ilvl w:val="0"/>
          <w:numId w:val="1004"/>
        </w:numPr>
      </w:pPr>
      <w:r>
        <w:t xml:space="preserve">board-management controllers;</w:t>
      </w:r>
    </w:p>
    <w:p>
      <w:pPr>
        <w:pStyle w:val="Compact"/>
        <w:numPr>
          <w:ilvl w:val="0"/>
          <w:numId w:val="1004"/>
        </w:numPr>
      </w:pPr>
      <w:r>
        <w:t xml:space="preserve">secure processing;</w:t>
      </w:r>
    </w:p>
    <w:p>
      <w:pPr>
        <w:pStyle w:val="Compact"/>
        <w:numPr>
          <w:ilvl w:val="0"/>
          <w:numId w:val="1004"/>
        </w:numPr>
      </w:pPr>
      <w:r>
        <w:t xml:space="preserve">networking control-plane products.</w:t>
      </w:r>
    </w:p>
    <w:p>
      <w:pPr>
        <w:pStyle w:val="FirstParagraph"/>
      </w:pPr>
      <w:r>
        <w:t xml:space="preserve">Investors should look for more detail on customer ramps, the relative contribution of industrial versus communications infrastructure, and whether the company can give a clearer trajectory into 2027. The opportunity is real, but it is still relatively small compared with NXP’s total revenue base; investors should avoid conflating it with direct accelerator, GPU, or high-speed AI-networking exposure.</w:t>
      </w:r>
    </w:p>
    <w:bookmarkEnd w:id="14"/>
    <w:bookmarkEnd w:id="15"/>
    <w:bookmarkStart w:id="16" w:name="Xe19642f6712ba6ffc55590784ee40a5cec85efe"/>
    <w:p>
      <w:pPr>
        <w:pStyle w:val="Heading2"/>
      </w:pPr>
      <w:r>
        <w:t xml:space="preserve">Margins and cash flow matter as much as revenue</w:t>
      </w:r>
    </w:p>
    <w:p>
      <w:pPr>
        <w:pStyle w:val="FirstParagraph"/>
      </w:pPr>
      <w:r>
        <w:t xml:space="preserve">The margin setup is strong. NXP guided to</w:t>
      </w:r>
      <w:r>
        <w:t xml:space="preserve"> </w:t>
      </w:r>
      <w:r>
        <w:rPr>
          <w:b/>
          <w:bCs/>
        </w:rPr>
        <w:t xml:space="preserve">58.0% non-GAAP gross margin</w:t>
      </w:r>
      <w:r>
        <w:t xml:space="preserve">, up from 57.1% in 1Q26, driven by higher volume, mix, and better front-end utilization. Management indicated utilization could move from the low-80% range in the first half to the mid-80% range in the second half.</w:t>
      </w:r>
    </w:p>
    <w:p>
      <w:pPr>
        <w:pStyle w:val="BodyText"/>
      </w:pPr>
      <w:r>
        <w:t xml:space="preserve">A successful print should show:</w:t>
      </w:r>
    </w:p>
    <w:p>
      <w:pPr>
        <w:pStyle w:val="Compact"/>
        <w:numPr>
          <w:ilvl w:val="0"/>
          <w:numId w:val="1005"/>
        </w:numPr>
      </w:pPr>
      <w:r>
        <w:rPr>
          <w:b/>
          <w:bCs/>
        </w:rPr>
        <w:t xml:space="preserve">Revenue upside converting to gross-margin upside</w:t>
      </w:r>
      <w:r>
        <w:t xml:space="preserve">, rather than being offset by costs.</w:t>
      </w:r>
    </w:p>
    <w:p>
      <w:pPr>
        <w:pStyle w:val="Compact"/>
        <w:numPr>
          <w:ilvl w:val="0"/>
          <w:numId w:val="1005"/>
        </w:numPr>
      </w:pPr>
      <w:r>
        <w:t xml:space="preserve">Continued opex discipline around the $800 million guided level.</w:t>
      </w:r>
    </w:p>
    <w:p>
      <w:pPr>
        <w:pStyle w:val="Compact"/>
        <w:numPr>
          <w:ilvl w:val="0"/>
          <w:numId w:val="1005"/>
        </w:numPr>
      </w:pPr>
      <w:r>
        <w:t xml:space="preserve">Free-cash-flow conversion that remains healthy after growth investments.</w:t>
      </w:r>
    </w:p>
    <w:p>
      <w:pPr>
        <w:pStyle w:val="Compact"/>
        <w:numPr>
          <w:ilvl w:val="0"/>
          <w:numId w:val="1005"/>
        </w:numPr>
      </w:pPr>
      <w:r>
        <w:t xml:space="preserve">Progress toward the longer-term goal of 60%+ gross margin.</w:t>
      </w:r>
    </w:p>
    <w:p>
      <w:pPr>
        <w:pStyle w:val="FirstParagraph"/>
      </w:pPr>
      <w:r>
        <w:t xml:space="preserve">NXP generated $714 million of 1Q non-GAAP free cash flow, or 22% of revenue. It ended the quarter with $3.7 billion in cash and net leverage of 1.7x adjusted EBITDA. That provides flexibility for dividends, buybacks, acquisitions, and manufacturing investments.</w:t>
      </w:r>
    </w:p>
    <w:bookmarkEnd w:id="16"/>
    <w:bookmarkStart w:id="17" w:name="X0067ac3ef951df2e34888d2152f9f9e6f008cfd"/>
    <w:p>
      <w:pPr>
        <w:pStyle w:val="Heading2"/>
      </w:pPr>
      <w:r>
        <w:t xml:space="preserve">Manufacturing: strategic upside, near-term cash use</w:t>
      </w:r>
    </w:p>
    <w:p>
      <w:pPr>
        <w:pStyle w:val="FirstParagraph"/>
      </w:pPr>
      <w:r>
        <w:t xml:space="preserve">NXP is investing in VSMC in Singapore and ESMC in Europe to improve supply resilience and move more production to 300mm manufacturing. The company expects VSMC to be operational in 2028 and has estimated that full ramp could provide roughly</w:t>
      </w:r>
      <w:r>
        <w:t xml:space="preserve"> </w:t>
      </w:r>
      <w:r>
        <w:rPr>
          <w:b/>
          <w:bCs/>
        </w:rPr>
        <w:t xml:space="preserve">200 basis points of structural gross-margin expansion</w:t>
      </w:r>
      <w:r>
        <w:t xml:space="preserve">.</w:t>
      </w:r>
    </w:p>
    <w:p>
      <w:pPr>
        <w:pStyle w:val="BodyText"/>
      </w:pPr>
      <w:r>
        <w:t xml:space="preserve">For this report, investors should monitor:</w:t>
      </w:r>
    </w:p>
    <w:p>
      <w:pPr>
        <w:pStyle w:val="Compact"/>
        <w:numPr>
          <w:ilvl w:val="0"/>
          <w:numId w:val="1006"/>
        </w:numPr>
      </w:pPr>
      <w:r>
        <w:t xml:space="preserve">whether VSMC and ESMC remain on schedule;</w:t>
      </w:r>
    </w:p>
    <w:p>
      <w:pPr>
        <w:pStyle w:val="Compact"/>
        <w:numPr>
          <w:ilvl w:val="0"/>
          <w:numId w:val="1006"/>
        </w:numPr>
      </w:pPr>
      <w:r>
        <w:t xml:space="preserve">expected 2026 cash contributions and capacity-access payments;</w:t>
      </w:r>
    </w:p>
    <w:p>
      <w:pPr>
        <w:pStyle w:val="Compact"/>
        <w:numPr>
          <w:ilvl w:val="0"/>
          <w:numId w:val="1006"/>
        </w:numPr>
      </w:pPr>
      <w:r>
        <w:t xml:space="preserve">any change in supply-chain tightness or third-party wafer pricing;</w:t>
      </w:r>
    </w:p>
    <w:p>
      <w:pPr>
        <w:pStyle w:val="Compact"/>
        <w:numPr>
          <w:ilvl w:val="0"/>
          <w:numId w:val="1006"/>
        </w:numPr>
      </w:pPr>
      <w:r>
        <w:t xml:space="preserve">whether selective pricing actions become more material.</w:t>
      </w:r>
    </w:p>
    <w:p>
      <w:pPr>
        <w:pStyle w:val="FirstParagraph"/>
      </w:pPr>
      <w:r>
        <w:t xml:space="preserve">This is strategically attractive, but it carries execution and cash-deployment risk before the margin benefit arrives.</w:t>
      </w:r>
    </w:p>
    <w:bookmarkEnd w:id="17"/>
    <w:bookmarkStart w:id="23" w:name="what-could-disappoint"/>
    <w:p>
      <w:pPr>
        <w:pStyle w:val="Heading2"/>
      </w:pPr>
      <w:r>
        <w:t xml:space="preserve">What could disappoint</w:t>
      </w:r>
    </w:p>
    <w:bookmarkStart w:id="18" w:name="Xe6526b94f26ad38cd58d8e5e22156d876057335"/>
    <w:p>
      <w:pPr>
        <w:pStyle w:val="Heading3"/>
      </w:pPr>
      <w:r>
        <w:t xml:space="preserve">1. A conservative Q3 outlook</w:t>
      </w:r>
    </w:p>
    <w:p>
      <w:pPr>
        <w:pStyle w:val="FirstParagraph"/>
      </w:pPr>
      <w:r>
        <w:t xml:space="preserve">The stock likely needs a Q3 guide consistent with continued sequential growth and management’s prior confidence in a stronger second half. A beat paired with a muted outlook would challenge the “company-specific acceleration” thesis.</w:t>
      </w:r>
    </w:p>
    <w:bookmarkEnd w:id="18"/>
    <w:bookmarkStart w:id="19" w:name="X724388254d5718abd8f601e777e1ede668facc2"/>
    <w:p>
      <w:pPr>
        <w:pStyle w:val="Heading3"/>
      </w:pPr>
      <w:r>
        <w:t xml:space="preserve">2. Automotive growth that looks cyclical rather than content-led</w:t>
      </w:r>
    </w:p>
    <w:p>
      <w:pPr>
        <w:pStyle w:val="FirstParagraph"/>
      </w:pPr>
      <w:r>
        <w:t xml:space="preserve">Auto demand, China production, and global vehicle volumes remain noisy. If management cannot demonstrate that S32, radar, Ethernet, and SDV programs are offsetting those pressures, the market may reassess the durability of growth.</w:t>
      </w:r>
    </w:p>
    <w:bookmarkEnd w:id="19"/>
    <w:bookmarkStart w:id="20" w:name="Xa80b6b965d9ab74ece21c6c58aea480bae7cf10"/>
    <w:p>
      <w:pPr>
        <w:pStyle w:val="Heading3"/>
      </w:pPr>
      <w:r>
        <w:t xml:space="preserve">3. Channel inventory above the 11-week target</w:t>
      </w:r>
    </w:p>
    <w:p>
      <w:pPr>
        <w:pStyle w:val="FirstParagraph"/>
      </w:pPr>
      <w:r>
        <w:t xml:space="preserve">Management said Q2 guidance assumes flat channel inventory at 11 weeks. A higher number could invite concerns that distribution is getting ahead of end demand, especially given industrial’s heavy channel exposure.</w:t>
      </w:r>
    </w:p>
    <w:bookmarkEnd w:id="20"/>
    <w:bookmarkStart w:id="21" w:name="Xf60ddd67c02aafc1bf66552c17e849f47fe79ae"/>
    <w:p>
      <w:pPr>
        <w:pStyle w:val="Heading3"/>
      </w:pPr>
      <w:r>
        <w:t xml:space="preserve">4. Input costs and trade friction</w:t>
      </w:r>
    </w:p>
    <w:p>
      <w:pPr>
        <w:pStyle w:val="FirstParagraph"/>
      </w:pPr>
      <w:r>
        <w:t xml:space="preserve">Management previously cited tightness in parts of the supply chain and selective price increases. New trade-policy uncertainty and tariffs are an additional risk to customer demand, supply chains, and cost structures.</w:t>
      </w:r>
    </w:p>
    <w:bookmarkEnd w:id="21"/>
    <w:bookmarkStart w:id="22" w:name="X88c73a73beb9c2a29960eaa5b393d8315cbdf41"/>
    <w:p>
      <w:pPr>
        <w:pStyle w:val="Heading3"/>
      </w:pPr>
      <w:r>
        <w:t xml:space="preserve">5. Margin upside fails to materialize</w:t>
      </w:r>
    </w:p>
    <w:p>
      <w:pPr>
        <w:pStyle w:val="FirstParagraph"/>
      </w:pPr>
      <w:r>
        <w:t xml:space="preserve">The bull case depends partly on utilization and mix translating to margin expansion. A revenue beat without gross-margin improvement would weaken the quality of the result.</w:t>
      </w:r>
    </w:p>
    <w:bookmarkEnd w:id="22"/>
    <w:bookmarkEnd w:id="23"/>
    <w:bookmarkStart w:id="24" w:name="stock-setup"/>
    <w:p>
      <w:pPr>
        <w:pStyle w:val="Heading2"/>
      </w:pPr>
      <w:r>
        <w:t xml:space="preserve">Stock setup</w:t>
      </w:r>
    </w:p>
    <w:p>
      <w:pPr>
        <w:pStyle w:val="FirstParagraph"/>
      </w:pPr>
      <w:r>
        <w:t xml:space="preserve">NXPI closed at</w:t>
      </w:r>
      <w:r>
        <w:t xml:space="preserve"> </w:t>
      </w:r>
      <w:r>
        <w:rPr>
          <w:b/>
          <w:bCs/>
        </w:rPr>
        <w:t xml:space="preserve">$267.71 on Monday, July 27</w:t>
      </w:r>
      <w:r>
        <w:t xml:space="preserve">. That was about</w:t>
      </w:r>
      <w:r>
        <w:t xml:space="preserve"> </w:t>
      </w:r>
      <w:r>
        <w:rPr>
          <w:b/>
          <w:bCs/>
        </w:rPr>
        <w:t xml:space="preserve">7.4% below</w:t>
      </w:r>
      <w:r>
        <w:t xml:space="preserve"> </w:t>
      </w:r>
      <w:r>
        <w:t xml:space="preserve">its April 29 post-1Q-results close, while SOXX gained about</w:t>
      </w:r>
      <w:r>
        <w:t xml:space="preserve"> </w:t>
      </w:r>
      <w:r>
        <w:rPr>
          <w:b/>
          <w:bCs/>
        </w:rPr>
        <w:t xml:space="preserve">14.7%</w:t>
      </w:r>
      <w:r>
        <w:t xml:space="preserve"> </w:t>
      </w:r>
      <w:r>
        <w:t xml:space="preserve">over the same period; NXPI was also roughly</w:t>
      </w:r>
      <w:r>
        <w:t xml:space="preserve"> </w:t>
      </w:r>
      <w:r>
        <w:rPr>
          <w:b/>
          <w:bCs/>
        </w:rPr>
        <w:t xml:space="preserve">19.5% below</w:t>
      </w:r>
      <w:r>
        <w:t xml:space="preserve"> </w:t>
      </w:r>
      <w:r>
        <w:t xml:space="preserve">its May 26 closing high.</w:t>
      </w:r>
    </w:p>
    <w:p>
      <w:pPr>
        <w:pStyle w:val="BodyText"/>
      </w:pPr>
      <w:r>
        <w:t xml:space="preserve">That relative underperformance implies that the market has become more skeptical about the durability of the growth and margin story—even after the strong Q1 report. Consequently, a credible raise or especially confident second-half framing could be received well. Conversely, a merely in-line Q2 and conservative Q3 outlook would leave little support for the structural-growth narrative.</w:t>
      </w:r>
    </w:p>
    <w:bookmarkEnd w:id="24"/>
    <w:bookmarkStart w:id="25" w:name="investor-checklist-for-the-call"/>
    <w:p>
      <w:pPr>
        <w:pStyle w:val="Heading2"/>
      </w:pPr>
      <w:r>
        <w:t xml:space="preserve">Investor checklist for the call</w:t>
      </w:r>
    </w:p>
    <w:p>
      <w:pPr>
        <w:pStyle w:val="Compact"/>
        <w:numPr>
          <w:ilvl w:val="0"/>
          <w:numId w:val="1007"/>
        </w:numPr>
      </w:pPr>
      <w:r>
        <w:rPr>
          <w:b/>
          <w:bCs/>
        </w:rPr>
        <w:t xml:space="preserve">Does Q2 revenue exceed $3.45B, and by how much?</w:t>
      </w:r>
    </w:p>
    <w:p>
      <w:pPr>
        <w:pStyle w:val="Compact"/>
        <w:numPr>
          <w:ilvl w:val="0"/>
          <w:numId w:val="1007"/>
        </w:numPr>
      </w:pPr>
      <w:r>
        <w:rPr>
          <w:b/>
          <w:bCs/>
        </w:rPr>
        <w:t xml:space="preserve">Is gross margin at or above 58%, and is the benefit volume/mix/utilization-driven?</w:t>
      </w:r>
    </w:p>
    <w:p>
      <w:pPr>
        <w:pStyle w:val="Compact"/>
        <w:numPr>
          <w:ilvl w:val="0"/>
          <w:numId w:val="1007"/>
        </w:numPr>
      </w:pPr>
      <w:r>
        <w:rPr>
          <w:b/>
          <w:bCs/>
        </w:rPr>
        <w:t xml:space="preserve">What is the Q3 revenue and EPS guide?</w:t>
      </w:r>
    </w:p>
    <w:p>
      <w:pPr>
        <w:pStyle w:val="Compact"/>
        <w:numPr>
          <w:ilvl w:val="0"/>
          <w:numId w:val="1007"/>
        </w:numPr>
      </w:pPr>
      <w:r>
        <w:rPr>
          <w:b/>
          <w:bCs/>
        </w:rPr>
        <w:t xml:space="preserve">Does management explicitly maintain the view that 2H26 accelerates?</w:t>
      </w:r>
    </w:p>
    <w:p>
      <w:pPr>
        <w:pStyle w:val="Compact"/>
        <w:numPr>
          <w:ilvl w:val="0"/>
          <w:numId w:val="1007"/>
        </w:numPr>
      </w:pPr>
      <w:r>
        <w:rPr>
          <w:b/>
          <w:bCs/>
        </w:rPr>
        <w:t xml:space="preserve">Are automotive growth drivers still tracking above long-term targets?</w:t>
      </w:r>
    </w:p>
    <w:p>
      <w:pPr>
        <w:pStyle w:val="Compact"/>
        <w:numPr>
          <w:ilvl w:val="0"/>
          <w:numId w:val="1007"/>
        </w:numPr>
      </w:pPr>
      <w:r>
        <w:rPr>
          <w:b/>
          <w:bCs/>
        </w:rPr>
        <w:t xml:space="preserve">Does Industrial &amp; IoT sustain its high-growth trajectory without channel inventory expansion?</w:t>
      </w:r>
    </w:p>
    <w:p>
      <w:pPr>
        <w:pStyle w:val="Compact"/>
        <w:numPr>
          <w:ilvl w:val="0"/>
          <w:numId w:val="1007"/>
        </w:numPr>
      </w:pPr>
      <w:r>
        <w:rPr>
          <w:b/>
          <w:bCs/>
        </w:rPr>
        <w:t xml:space="preserve">Is data-center revenue tracking toward more than $500M in 2026?</w:t>
      </w:r>
    </w:p>
    <w:p>
      <w:pPr>
        <w:pStyle w:val="Compact"/>
        <w:numPr>
          <w:ilvl w:val="0"/>
          <w:numId w:val="1007"/>
        </w:numPr>
      </w:pPr>
      <w:r>
        <w:rPr>
          <w:b/>
          <w:bCs/>
        </w:rPr>
        <w:t xml:space="preserve">Are VSMC/ESMC timing, investment requirements, and the 2028 margin-benefit thesis unchanged?</w:t>
      </w:r>
    </w:p>
    <w:p>
      <w:pPr>
        <w:pStyle w:val="Compact"/>
        <w:numPr>
          <w:ilvl w:val="0"/>
          <w:numId w:val="1007"/>
        </w:numPr>
      </w:pPr>
      <w:r>
        <w:rPr>
          <w:b/>
          <w:bCs/>
        </w:rPr>
        <w:t xml:space="preserve">Have supply constraints, pricing actions, tariffs, or China conditions changed materially?</w:t>
      </w:r>
    </w:p>
    <w:bookmarkEnd w:id="25"/>
    <w:bookmarkStart w:id="26" w:name="takeaway"/>
    <w:p>
      <w:pPr>
        <w:pStyle w:val="Heading2"/>
      </w:pPr>
      <w:r>
        <w:t xml:space="preserve">Takeaway</w:t>
      </w:r>
    </w:p>
    <w:p>
      <w:pPr>
        <w:pStyle w:val="FirstParagraph"/>
      </w:pPr>
      <w:r>
        <w:t xml:space="preserve">NXP’s Q2 report is best viewed as a</w:t>
      </w:r>
      <w:r>
        <w:t xml:space="preserve"> </w:t>
      </w:r>
      <w:r>
        <w:rPr>
          <w:b/>
          <w:bCs/>
        </w:rPr>
        <w:t xml:space="preserve">validation event for a changed earnings profile</w:t>
      </w:r>
      <w:r>
        <w:t xml:space="preserve">. Management has laid out a compelling case for broad-based, company-specific growth powered by SDVs, industrial edge AI, and data-center control infrastructure. The Q2 numbers should be strong. The investable question is whether management’s Q3 outlook and second-half commentary demonstrate that this is the beginning of a sustained growth-and-margin cycle rather than the high point of a recovery quarter.</w:t>
      </w:r>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2026-07-28T01:09:12Z</dcterms:created>
  <dcterms:modified xsi:type="dcterms:W3CDTF">2026-07-28T01:09:12Z</dcterms:modified>
</cp:coreProperties>
</file>

<file path=docProps/custom.xml><?xml version="1.0" encoding="utf-8"?>
<Properties xmlns="http://schemas.openxmlformats.org/officeDocument/2006/custom-properties" xmlns:vt="http://schemas.openxmlformats.org/officeDocument/2006/docPropsVTypes"/>
</file>