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NXP Semiconductors (NXPI)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NXP Semiconductors N.V.</w:t>
            </w:r>
          </w:p>
        </w:tc>
      </w:tr>
      <w:tr>
        <w:tc>
          <w:tcPr>
            <w:tcW w:type="dxa" w:w="4320"/>
          </w:tcPr>
          <w:p>
            <w:r>
              <w:rPr>
                <w:rFonts w:ascii="Calibri" w:hAnsi="Calibri"/>
                <w:b/>
                <w:sz w:val="22"/>
              </w:rPr>
              <w:t>Ticker</w:t>
            </w:r>
          </w:p>
        </w:tc>
        <w:tc>
          <w:tcPr>
            <w:tcW w:type="dxa" w:w="4320"/>
          </w:tcPr>
          <w:p>
            <w:r>
              <w:rPr>
                <w:rFonts w:ascii="Calibri" w:hAnsi="Calibri"/>
                <w:sz w:val="22"/>
              </w:rPr>
              <w:t>NXPI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(after market close)</w:t>
            </w:r>
          </w:p>
        </w:tc>
      </w:tr>
      <w:tr>
        <w:tc>
          <w:tcPr>
            <w:tcW w:type="dxa" w:w="4320"/>
          </w:tcPr>
          <w:p>
            <w:r>
              <w:rPr>
                <w:rFonts w:ascii="Calibri" w:hAnsi="Calibri"/>
                <w:b/>
                <w:sz w:val="22"/>
              </w:rPr>
              <w:t>Last Earnings</w:t>
            </w:r>
          </w:p>
        </w:tc>
        <w:tc>
          <w:tcPr>
            <w:tcW w:type="dxa" w:w="4320"/>
          </w:tcPr>
          <w:p>
            <w:r>
              <w:rPr>
                <w:rFonts w:ascii="Calibri" w:hAnsi="Calibri"/>
                <w:sz w:val="22"/>
              </w:rPr>
              <w:t>April 28, 2026 (Q1 2026)</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consensus sits at the midpoint of guidance, the demand environment has broadened materially since Q1, and peer read-throughs from TXN and STM confirm accelerating automotive and industrial momentum; the biggest swing factor is whether the data center ramp and Industrial &amp; IoT trajectory can sustain the high-30% YoY growth implied by guidance.</w:t>
      </w:r>
    </w:p>
    <w:p>
      <w:r>
        <w:rPr>
          <w:rFonts w:ascii="Calibri" w:hAnsi="Calibri"/>
          <w:color w:val="525866"/>
          <w:sz w:val="22"/>
        </w:rPr>
        <w:t xml:space="preserve">Heading into Q2 2026, NXP's bar is set at the midpoint of its own guidance ($3.45B revenue, $3.50 non-GAAP EPS), with consensus essentially in line — leaving limited room for a miss but meaningful upside if execution tracks the accelerating demand signals management described in April. </w:t>
      </w:r>
    </w:p>
    <w:p>
      <w:r>
        <w:rPr>
          <w:rFonts w:ascii="Calibri" w:hAnsi="Calibri"/>
          <w:color w:val="525866"/>
          <w:sz w:val="22"/>
        </w:rPr>
        <w:t xml:space="preserve">Management's tone on the Q1 call was the most confident in several quarters, explicitly stating that "the remainder of 2026 is set up to be stronger than we anticipated just 90 days ago" and guiding all four end markets up year-over-year — a posture that has not shifted since. </w:t>
      </w:r>
    </w:p>
    <w:p>
      <w:r>
        <w:rPr>
          <w:rFonts w:ascii="Calibri" w:hAnsi="Calibri"/>
          <w:color w:val="525866"/>
          <w:sz w:val="22"/>
        </w:rPr>
        <w:t xml:space="preserve">Estimate revisions have moved modestly higher since the Q1 print (Q2 revenue consensus up ~$8M from the post-Q1 baseline), tracking guidance rather than diverging, which suggests the street has largely priced in the guide but not yet a beat. </w:t>
      </w:r>
    </w:p>
    <w:p>
      <w:r>
        <w:rPr>
          <w:rFonts w:ascii="Calibri" w:hAnsi="Calibri"/>
          <w:color w:val="525866"/>
          <w:sz w:val="22"/>
        </w:rPr>
        <w:t xml:space="preserve">The stock surged ~26% on the Q1 earnings day (from $230 to $289) but has since given back roughly half those gains, trading near $268 as of July 28 — down ~7% from the post-earnings peak and lagging SOXX (+18% since Q1 earnings), suggesting the market has grown more cautious about near-term execution even as the fundamental setup has improved. </w:t>
      </w:r>
    </w:p>
    <w:p>
      <w:r>
        <w:rPr>
          <w:rFonts w:ascii="Calibri" w:hAnsi="Calibri"/>
          <w:color w:val="525866"/>
          <w:sz w:val="22"/>
        </w:rPr>
        <w:t>The key wildcard is the data center revenue trajectory: management guided "north of $500M" for full-year 2026 (vs. ~$200M in 2025), and any incremental color on Q2 data center performance or H2 visibility could be the single biggest driver of the stock reaction on July 28.</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set at the midpoint of guidance across all key metrics, making this a clean execution test — </w:t>
      </w:r>
    </w:p>
    <w:p>
      <w:r>
        <w:rPr>
          <w:rFonts w:ascii="Calibri" w:hAnsi="Calibri"/>
          <w:color w:val="525866"/>
          <w:sz w:val="22"/>
        </w:rPr>
        <w:t>Revenue ($3.47B consensus vs. $3.45B guidance midpoint) and non-GAAP EPS ($3.54 consensus vs. $3.50 guidance midpoint) are the two biggest swing factors; Industrial &amp; IoT (guided up high-30% YoY) is the highest-variance segment given its outsized growth rate.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Revenue ($M)</w:t>
            </w:r>
          </w:p>
        </w:tc>
        <w:tc>
          <w:tcPr>
            <w:tcW w:type="dxa" w:w="1234"/>
          </w:tcPr>
          <w:p>
            <w:r>
              <w:rPr>
                <w:rFonts w:ascii="Calibri" w:hAnsi="Calibri"/>
                <w:sz w:val="22"/>
              </w:rPr>
              <w:t>$3,181</w:t>
            </w:r>
          </w:p>
        </w:tc>
        <w:tc>
          <w:tcPr>
            <w:tcW w:type="dxa" w:w="1234"/>
          </w:tcPr>
          <w:p>
            <w:r>
              <w:rPr>
                <w:rFonts w:ascii="Calibri" w:hAnsi="Calibri"/>
                <w:sz w:val="22"/>
              </w:rPr>
              <w:t>$2,926</w:t>
            </w:r>
          </w:p>
        </w:tc>
        <w:tc>
          <w:tcPr>
            <w:tcW w:type="dxa" w:w="1234"/>
          </w:tcPr>
          <w:p>
            <w:r>
              <w:rPr>
                <w:rFonts w:ascii="Calibri" w:hAnsi="Calibri"/>
                <w:sz w:val="22"/>
              </w:rPr>
              <w:t>$3,468</w:t>
            </w:r>
          </w:p>
        </w:tc>
        <w:tc>
          <w:tcPr>
            <w:tcW w:type="dxa" w:w="1234"/>
          </w:tcPr>
          <w:p>
            <w:r>
              <w:rPr>
                <w:rFonts w:ascii="Calibri" w:hAnsi="Calibri"/>
                <w:b/>
                <w:color w:val="30A46C"/>
                <w:sz w:val="22"/>
              </w:rPr>
              <w:t>+18.5%</w:t>
            </w:r>
          </w:p>
        </w:tc>
        <w:tc>
          <w:tcPr>
            <w:tcW w:type="dxa" w:w="1234"/>
          </w:tcPr>
          <w:p>
            <w:r>
              <w:rPr>
                <w:rFonts w:ascii="Calibri" w:hAnsi="Calibri"/>
                <w:sz w:val="22"/>
              </w:rPr>
              <w:t>$3,450</w:t>
            </w:r>
          </w:p>
        </w:tc>
        <w:tc>
          <w:tcPr>
            <w:tcW w:type="dxa" w:w="1234"/>
          </w:tcPr>
          <w:p>
            <w:r>
              <w:rPr>
                <w:rFonts w:ascii="Calibri" w:hAnsi="Calibri"/>
                <w:sz w:val="22"/>
              </w:rPr>
              <w:t>+0.5%</w:t>
            </w:r>
          </w:p>
        </w:tc>
      </w:tr>
      <w:tr>
        <w:tc>
          <w:tcPr>
            <w:tcW w:type="dxa" w:w="1234"/>
          </w:tcPr>
          <w:p>
            <w:r>
              <w:rPr>
                <w:rFonts w:ascii="Calibri" w:hAnsi="Calibri"/>
                <w:sz w:val="22"/>
              </w:rPr>
              <w:t>Non-GAAP Gross Profit ($M)</w:t>
            </w:r>
          </w:p>
        </w:tc>
        <w:tc>
          <w:tcPr>
            <w:tcW w:type="dxa" w:w="1234"/>
          </w:tcPr>
          <w:p>
            <w:r>
              <w:rPr>
                <w:rFonts w:ascii="Calibri" w:hAnsi="Calibri"/>
                <w:sz w:val="22"/>
              </w:rPr>
              <w:t>$1,815</w:t>
            </w:r>
          </w:p>
        </w:tc>
        <w:tc>
          <w:tcPr>
            <w:tcW w:type="dxa" w:w="1234"/>
          </w:tcPr>
          <w:p>
            <w:r>
              <w:rPr>
                <w:rFonts w:ascii="Calibri" w:hAnsi="Calibri"/>
                <w:sz w:val="22"/>
              </w:rPr>
              <w:t>$1,652</w:t>
            </w:r>
          </w:p>
        </w:tc>
        <w:tc>
          <w:tcPr>
            <w:tcW w:type="dxa" w:w="1234"/>
          </w:tcPr>
          <w:p>
            <w:r>
              <w:rPr>
                <w:rFonts w:ascii="Calibri" w:hAnsi="Calibri"/>
                <w:sz w:val="22"/>
              </w:rPr>
              <w:t>$2,008</w:t>
            </w:r>
          </w:p>
        </w:tc>
        <w:tc>
          <w:tcPr>
            <w:tcW w:type="dxa" w:w="1234"/>
          </w:tcPr>
          <w:p>
            <w:r>
              <w:rPr>
                <w:rFonts w:ascii="Calibri" w:hAnsi="Calibri"/>
                <w:b/>
                <w:color w:val="30A46C"/>
                <w:sz w:val="22"/>
              </w:rPr>
              <w:t>+21.5%</w:t>
            </w:r>
          </w:p>
        </w:tc>
        <w:tc>
          <w:tcPr>
            <w:tcW w:type="dxa" w:w="1234"/>
          </w:tcPr>
          <w:p>
            <w:r>
              <w:rPr>
                <w:rFonts w:ascii="Calibri" w:hAnsi="Calibri"/>
                <w:sz w:val="22"/>
              </w:rPr>
              <w:t>~$2,001 (58.0% margin)</w:t>
            </w:r>
          </w:p>
        </w:tc>
        <w:tc>
          <w:tcPr>
            <w:tcW w:type="dxa" w:w="1234"/>
          </w:tcPr>
          <w:p>
            <w:r>
              <w:rPr>
                <w:rFonts w:ascii="Calibri" w:hAnsi="Calibri"/>
                <w:sz w:val="22"/>
              </w:rPr>
              <w:t>+0.3%</w:t>
            </w:r>
          </w:p>
        </w:tc>
      </w:tr>
      <w:tr>
        <w:tc>
          <w:tcPr>
            <w:tcW w:type="dxa" w:w="1234"/>
          </w:tcPr>
          <w:p>
            <w:r>
              <w:rPr>
                <w:rFonts w:ascii="Calibri" w:hAnsi="Calibri"/>
                <w:sz w:val="22"/>
              </w:rPr>
              <w:t>Non-GAAP Operating Income ($M)</w:t>
            </w:r>
          </w:p>
        </w:tc>
        <w:tc>
          <w:tcPr>
            <w:tcW w:type="dxa" w:w="1234"/>
          </w:tcPr>
          <w:p>
            <w:r>
              <w:rPr>
                <w:rFonts w:ascii="Calibri" w:hAnsi="Calibri"/>
                <w:sz w:val="22"/>
              </w:rPr>
              <w:t>$1,052</w:t>
            </w:r>
          </w:p>
        </w:tc>
        <w:tc>
          <w:tcPr>
            <w:tcW w:type="dxa" w:w="1234"/>
          </w:tcPr>
          <w:p>
            <w:r>
              <w:rPr>
                <w:rFonts w:ascii="Calibri" w:hAnsi="Calibri"/>
                <w:sz w:val="22"/>
              </w:rPr>
              <w:t>$935</w:t>
            </w:r>
          </w:p>
        </w:tc>
        <w:tc>
          <w:tcPr>
            <w:tcW w:type="dxa" w:w="1234"/>
          </w:tcPr>
          <w:p>
            <w:r>
              <w:rPr>
                <w:rFonts w:ascii="Calibri" w:hAnsi="Calibri"/>
                <w:sz w:val="22"/>
              </w:rPr>
              <w:t>$1,204</w:t>
            </w:r>
          </w:p>
        </w:tc>
        <w:tc>
          <w:tcPr>
            <w:tcW w:type="dxa" w:w="1234"/>
          </w:tcPr>
          <w:p>
            <w:r>
              <w:rPr>
                <w:rFonts w:ascii="Calibri" w:hAnsi="Calibri"/>
                <w:b/>
                <w:color w:val="30A46C"/>
                <w:sz w:val="22"/>
              </w:rPr>
              <w:t>+28.8%</w:t>
            </w:r>
          </w:p>
        </w:tc>
        <w:tc>
          <w:tcPr>
            <w:tcW w:type="dxa" w:w="1234"/>
          </w:tcPr>
          <w:p>
            <w:r>
              <w:rPr>
                <w:rFonts w:ascii="Calibri" w:hAnsi="Calibri"/>
                <w:sz w:val="22"/>
              </w:rPr>
              <w:t>~$1,198 (34.7% margin)</w:t>
            </w:r>
          </w:p>
        </w:tc>
        <w:tc>
          <w:tcPr>
            <w:tcW w:type="dxa" w:w="1234"/>
          </w:tcPr>
          <w:p>
            <w:r>
              <w:rPr>
                <w:rFonts w:ascii="Calibri" w:hAnsi="Calibri"/>
                <w:sz w:val="22"/>
              </w:rPr>
              <w:t>+0.5%</w:t>
            </w:r>
          </w:p>
        </w:tc>
      </w:tr>
      <w:tr>
        <w:tc>
          <w:tcPr>
            <w:tcW w:type="dxa" w:w="1234"/>
          </w:tcPr>
          <w:p>
            <w:r>
              <w:rPr>
                <w:rFonts w:ascii="Calibri" w:hAnsi="Calibri"/>
                <w:sz w:val="22"/>
              </w:rPr>
              <w:t>Non-GAAP EPS (Diluted)</w:t>
            </w:r>
          </w:p>
        </w:tc>
        <w:tc>
          <w:tcPr>
            <w:tcW w:type="dxa" w:w="1234"/>
          </w:tcPr>
          <w:p>
            <w:r>
              <w:rPr>
                <w:rFonts w:ascii="Calibri" w:hAnsi="Calibri"/>
                <w:sz w:val="22"/>
              </w:rPr>
              <w:t>$3.05</w:t>
            </w:r>
          </w:p>
        </w:tc>
        <w:tc>
          <w:tcPr>
            <w:tcW w:type="dxa" w:w="1234"/>
          </w:tcPr>
          <w:p>
            <w:r>
              <w:rPr>
                <w:rFonts w:ascii="Calibri" w:hAnsi="Calibri"/>
                <w:sz w:val="22"/>
              </w:rPr>
              <w:t>$2.72</w:t>
            </w:r>
          </w:p>
        </w:tc>
        <w:tc>
          <w:tcPr>
            <w:tcW w:type="dxa" w:w="1234"/>
          </w:tcPr>
          <w:p>
            <w:r>
              <w:rPr>
                <w:rFonts w:ascii="Calibri" w:hAnsi="Calibri"/>
                <w:sz w:val="22"/>
              </w:rPr>
              <w:t>$3.54</w:t>
            </w:r>
          </w:p>
        </w:tc>
        <w:tc>
          <w:tcPr>
            <w:tcW w:type="dxa" w:w="1234"/>
          </w:tcPr>
          <w:p>
            <w:r>
              <w:rPr>
                <w:rFonts w:ascii="Calibri" w:hAnsi="Calibri"/>
                <w:b/>
                <w:color w:val="30A46C"/>
                <w:sz w:val="22"/>
              </w:rPr>
              <w:t>+30.1%</w:t>
            </w:r>
          </w:p>
        </w:tc>
        <w:tc>
          <w:tcPr>
            <w:tcW w:type="dxa" w:w="1234"/>
          </w:tcPr>
          <w:p>
            <w:r>
              <w:rPr>
                <w:rFonts w:ascii="Calibri" w:hAnsi="Calibri"/>
                <w:sz w:val="22"/>
              </w:rPr>
              <w:t>$3.50</w:t>
            </w:r>
          </w:p>
        </w:tc>
        <w:tc>
          <w:tcPr>
            <w:tcW w:type="dxa" w:w="1234"/>
          </w:tcPr>
          <w:p>
            <w:r>
              <w:rPr>
                <w:rFonts w:ascii="Calibri" w:hAnsi="Calibri"/>
                <w:sz w:val="22"/>
              </w:rPr>
              <w:t>+1.1%</w:t>
            </w:r>
          </w:p>
        </w:tc>
      </w:tr>
      <w:tr>
        <w:tc>
          <w:tcPr>
            <w:tcW w:type="dxa" w:w="1234"/>
          </w:tcPr>
          <w:p>
            <w:r>
              <w:rPr>
                <w:rFonts w:ascii="Calibri" w:hAnsi="Calibri"/>
                <w:sz w:val="22"/>
              </w:rPr>
              <w:t>Revenue — Automotive ($M)</w:t>
            </w:r>
          </w:p>
        </w:tc>
        <w:tc>
          <w:tcPr>
            <w:tcW w:type="dxa" w:w="1234"/>
          </w:tcPr>
          <w:p>
            <w:r>
              <w:rPr>
                <w:rFonts w:ascii="Calibri" w:hAnsi="Calibri"/>
                <w:sz w:val="22"/>
              </w:rPr>
              <w:t>$1,782</w:t>
            </w:r>
          </w:p>
        </w:tc>
        <w:tc>
          <w:tcPr>
            <w:tcW w:type="dxa" w:w="1234"/>
          </w:tcPr>
          <w:p>
            <w:r>
              <w:rPr>
                <w:rFonts w:ascii="Calibri" w:hAnsi="Calibri"/>
                <w:sz w:val="22"/>
              </w:rPr>
              <w:t>$1,729</w:t>
            </w:r>
          </w:p>
        </w:tc>
        <w:tc>
          <w:tcPr>
            <w:tcW w:type="dxa" w:w="1234"/>
          </w:tcPr>
          <w:p>
            <w:r>
              <w:rPr>
                <w:rFonts w:ascii="Calibri" w:hAnsi="Calibri"/>
                <w:sz w:val="22"/>
              </w:rPr>
              <w:t>$1,939</w:t>
            </w:r>
          </w:p>
        </w:tc>
        <w:tc>
          <w:tcPr>
            <w:tcW w:type="dxa" w:w="1234"/>
          </w:tcPr>
          <w:p>
            <w:r>
              <w:rPr>
                <w:rFonts w:ascii="Calibri" w:hAnsi="Calibri"/>
                <w:b/>
                <w:color w:val="30A46C"/>
                <w:sz w:val="22"/>
              </w:rPr>
              <w:t>+12.1%</w:t>
            </w:r>
          </w:p>
        </w:tc>
        <w:tc>
          <w:tcPr>
            <w:tcW w:type="dxa" w:w="1234"/>
          </w:tcPr>
          <w:p>
            <w:r>
              <w:rPr>
                <w:rFonts w:ascii="Calibri" w:hAnsi="Calibri"/>
                <w:sz w:val="22"/>
              </w:rPr>
              <w:t>Low double-digit % YoY</w:t>
            </w:r>
          </w:p>
        </w:tc>
        <w:tc>
          <w:tcPr>
            <w:tcW w:type="dxa" w:w="1234"/>
          </w:tcPr>
          <w:p>
            <w:r>
              <w:rPr>
                <w:rFonts w:ascii="Calibri" w:hAnsi="Calibri"/>
                <w:sz w:val="22"/>
              </w:rPr>
              <w:t>In line</w:t>
            </w:r>
          </w:p>
        </w:tc>
      </w:tr>
      <w:tr>
        <w:tc>
          <w:tcPr>
            <w:tcW w:type="dxa" w:w="1234"/>
          </w:tcPr>
          <w:p>
            <w:r>
              <w:rPr>
                <w:rFonts w:ascii="Calibri" w:hAnsi="Calibri"/>
                <w:sz w:val="22"/>
              </w:rPr>
              <w:t>Revenue — Industrial &amp; IoT ($M)</w:t>
            </w:r>
          </w:p>
        </w:tc>
        <w:tc>
          <w:tcPr>
            <w:tcW w:type="dxa" w:w="1234"/>
          </w:tcPr>
          <w:p>
            <w:r>
              <w:rPr>
                <w:rFonts w:ascii="Calibri" w:hAnsi="Calibri"/>
                <w:sz w:val="22"/>
              </w:rPr>
              <w:t>$628</w:t>
            </w:r>
          </w:p>
        </w:tc>
        <w:tc>
          <w:tcPr>
            <w:tcW w:type="dxa" w:w="1234"/>
          </w:tcPr>
          <w:p>
            <w:r>
              <w:rPr>
                <w:rFonts w:ascii="Calibri" w:hAnsi="Calibri"/>
                <w:sz w:val="22"/>
              </w:rPr>
              <w:t>$546</w:t>
            </w:r>
          </w:p>
        </w:tc>
        <w:tc>
          <w:tcPr>
            <w:tcW w:type="dxa" w:w="1234"/>
          </w:tcPr>
          <w:p>
            <w:r>
              <w:rPr>
                <w:rFonts w:ascii="Calibri" w:hAnsi="Calibri"/>
                <w:sz w:val="22"/>
              </w:rPr>
              <w:t>$742</w:t>
            </w:r>
          </w:p>
        </w:tc>
        <w:tc>
          <w:tcPr>
            <w:tcW w:type="dxa" w:w="1234"/>
          </w:tcPr>
          <w:p>
            <w:r>
              <w:rPr>
                <w:rFonts w:ascii="Calibri" w:hAnsi="Calibri"/>
                <w:b/>
                <w:color w:val="30A46C"/>
                <w:sz w:val="22"/>
              </w:rPr>
              <w:t>+35.9%</w:t>
            </w:r>
          </w:p>
        </w:tc>
        <w:tc>
          <w:tcPr>
            <w:tcW w:type="dxa" w:w="1234"/>
          </w:tcPr>
          <w:p>
            <w:r>
              <w:rPr>
                <w:rFonts w:ascii="Calibri" w:hAnsi="Calibri"/>
                <w:sz w:val="22"/>
              </w:rPr>
              <w:t>High 30% YoY</w:t>
            </w:r>
          </w:p>
        </w:tc>
        <w:tc>
          <w:tcPr>
            <w:tcW w:type="dxa" w:w="1234"/>
          </w:tcPr>
          <w:p>
            <w:r>
              <w:rPr>
                <w:rFonts w:ascii="Calibri" w:hAnsi="Calibri"/>
                <w:sz w:val="22"/>
              </w:rPr>
              <w:t>In line</w:t>
            </w:r>
          </w:p>
        </w:tc>
      </w:tr>
      <w:tr>
        <w:tc>
          <w:tcPr>
            <w:tcW w:type="dxa" w:w="1234"/>
          </w:tcPr>
          <w:p>
            <w:r>
              <w:rPr>
                <w:rFonts w:ascii="Calibri" w:hAnsi="Calibri"/>
                <w:sz w:val="22"/>
              </w:rPr>
              <w:t>Revenue — Comm. Infra &amp; Other ($M)</w:t>
            </w:r>
          </w:p>
        </w:tc>
        <w:tc>
          <w:tcPr>
            <w:tcW w:type="dxa" w:w="1234"/>
          </w:tcPr>
          <w:p>
            <w:r>
              <w:rPr>
                <w:rFonts w:ascii="Calibri" w:hAnsi="Calibri"/>
                <w:sz w:val="22"/>
              </w:rPr>
              <w:t>$380</w:t>
            </w:r>
          </w:p>
        </w:tc>
        <w:tc>
          <w:tcPr>
            <w:tcW w:type="dxa" w:w="1234"/>
          </w:tcPr>
          <w:p>
            <w:r>
              <w:rPr>
                <w:rFonts w:ascii="Calibri" w:hAnsi="Calibri"/>
                <w:sz w:val="22"/>
              </w:rPr>
              <w:t>$320</w:t>
            </w:r>
          </w:p>
        </w:tc>
        <w:tc>
          <w:tcPr>
            <w:tcW w:type="dxa" w:w="1234"/>
          </w:tcPr>
          <w:p>
            <w:r>
              <w:rPr>
                <w:rFonts w:ascii="Calibri" w:hAnsi="Calibri"/>
                <w:sz w:val="22"/>
              </w:rPr>
              <w:t>$440</w:t>
            </w:r>
          </w:p>
        </w:tc>
        <w:tc>
          <w:tcPr>
            <w:tcW w:type="dxa" w:w="1234"/>
          </w:tcPr>
          <w:p>
            <w:r>
              <w:rPr>
                <w:rFonts w:ascii="Calibri" w:hAnsi="Calibri"/>
                <w:b/>
                <w:color w:val="30A46C"/>
                <w:sz w:val="22"/>
              </w:rPr>
              <w:t>+37.7%</w:t>
            </w:r>
          </w:p>
        </w:tc>
        <w:tc>
          <w:tcPr>
            <w:tcW w:type="dxa" w:w="1234"/>
          </w:tcPr>
          <w:p>
            <w:r>
              <w:rPr>
                <w:rFonts w:ascii="Calibri" w:hAnsi="Calibri"/>
                <w:sz w:val="22"/>
              </w:rPr>
              <w:t>Mid-30% YoY</w:t>
            </w:r>
          </w:p>
        </w:tc>
        <w:tc>
          <w:tcPr>
            <w:tcW w:type="dxa" w:w="1234"/>
          </w:tcPr>
          <w:p>
            <w:r>
              <w:rPr>
                <w:rFonts w:ascii="Calibri" w:hAnsi="Calibri"/>
                <w:sz w:val="22"/>
              </w:rPr>
              <w:t>In line</w:t>
            </w:r>
          </w:p>
        </w:tc>
      </w:tr>
      <w:tr>
        <w:tc>
          <w:tcPr>
            <w:tcW w:type="dxa" w:w="1234"/>
          </w:tcPr>
          <w:p>
            <w:r>
              <w:rPr>
                <w:rFonts w:ascii="Calibri" w:hAnsi="Calibri"/>
                <w:sz w:val="22"/>
              </w:rPr>
              <w:t>Revenue — Mobile ($M)</w:t>
            </w:r>
          </w:p>
        </w:tc>
        <w:tc>
          <w:tcPr>
            <w:tcW w:type="dxa" w:w="1234"/>
          </w:tcPr>
          <w:p>
            <w:r>
              <w:rPr>
                <w:rFonts w:ascii="Calibri" w:hAnsi="Calibri"/>
                <w:sz w:val="22"/>
              </w:rPr>
              <w:t>$391</w:t>
            </w:r>
          </w:p>
        </w:tc>
        <w:tc>
          <w:tcPr>
            <w:tcW w:type="dxa" w:w="1234"/>
          </w:tcPr>
          <w:p>
            <w:r>
              <w:rPr>
                <w:rFonts w:ascii="Calibri" w:hAnsi="Calibri"/>
                <w:sz w:val="22"/>
              </w:rPr>
              <w:t>$331</w:t>
            </w:r>
          </w:p>
        </w:tc>
        <w:tc>
          <w:tcPr>
            <w:tcW w:type="dxa" w:w="1234"/>
          </w:tcPr>
          <w:p>
            <w:r>
              <w:rPr>
                <w:rFonts w:ascii="Calibri" w:hAnsi="Calibri"/>
                <w:sz w:val="22"/>
              </w:rPr>
              <w:t>$347</w:t>
            </w:r>
          </w:p>
        </w:tc>
        <w:tc>
          <w:tcPr>
            <w:tcW w:type="dxa" w:w="1234"/>
          </w:tcPr>
          <w:p>
            <w:r>
              <w:rPr>
                <w:rFonts w:ascii="Calibri" w:hAnsi="Calibri"/>
                <w:sz w:val="22"/>
              </w:rPr>
              <w:t>+4.8%</w:t>
            </w:r>
          </w:p>
        </w:tc>
        <w:tc>
          <w:tcPr>
            <w:tcW w:type="dxa" w:w="1234"/>
          </w:tcPr>
          <w:p>
            <w:r>
              <w:rPr>
                <w:rFonts w:ascii="Calibri" w:hAnsi="Calibri"/>
                <w:sz w:val="22"/>
              </w:rPr>
              <w:t>Low single-digit % YoY</w:t>
            </w:r>
          </w:p>
        </w:tc>
        <w:tc>
          <w:tcPr>
            <w:tcW w:type="dxa" w:w="1234"/>
          </w:tcPr>
          <w:p>
            <w:r>
              <w:rPr>
                <w:rFonts w:ascii="Calibri" w:hAnsi="Calibri"/>
                <w:sz w:val="22"/>
              </w:rPr>
              <w:t>In line</w:t>
            </w:r>
          </w:p>
        </w:tc>
      </w:tr>
    </w:tbl>
    <w:p>
      <w:r>
        <w:rPr>
          <w:rFonts w:ascii="Calibri" w:hAnsi="Calibri"/>
          <w:i/>
          <w:color w:val="525866"/>
          <w:sz w:val="22"/>
        </w:rPr>
        <w:t>Source: Visible Alpha consensus and actuals data. Guidance from NXP Q1 2026 Earnings Call (April 28, 2026). Consensus estimates as of July 27, 2026.</w:t>
      </w:r>
    </w:p>
    <w:p>
      <w:pPr>
        <w:pStyle w:val="Heading3"/>
      </w:pPr>
      <w:r>
        <w:rPr>
          <w:rFonts w:ascii="Calibri" w:hAnsi="Calibri"/>
          <w:b/>
          <w:color w:val="3B4259"/>
          <w:sz w:val="24"/>
        </w:rPr>
        <w:t>Table 2 — Beat/Miss History (Last 8 Quarters, Top 2 KPIs)</w:t>
      </w:r>
    </w:p>
    <w:p>
      <w:r>
        <w:rPr>
          <w:rFonts w:ascii="Calibri" w:hAnsi="Calibri"/>
          <w:b/>
          <w:color w:val="525866"/>
          <w:sz w:val="22"/>
        </w:rPr>
        <w:t>KPI 1: Revenue | KPI 2: Non-GAAP EPS (Diluted)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$3,181M</w:t>
            </w:r>
          </w:p>
        </w:tc>
        <w:tc>
          <w:tcPr>
            <w:tcW w:type="dxa" w:w="1440"/>
          </w:tcPr>
          <w:p>
            <w:r>
              <w:rPr>
                <w:rFonts w:ascii="Calibri" w:hAnsi="Calibri"/>
                <w:sz w:val="22"/>
              </w:rPr>
              <w:t>$3,157M</w:t>
            </w:r>
          </w:p>
        </w:tc>
        <w:tc>
          <w:tcPr>
            <w:tcW w:type="dxa" w:w="1440"/>
          </w:tcPr>
          <w:p>
            <w:r>
              <w:rPr>
                <w:rFonts w:ascii="Calibri" w:hAnsi="Calibri"/>
                <w:b/>
                <w:color w:val="30A46C"/>
                <w:sz w:val="22"/>
              </w:rPr>
              <w:t>+0.8%</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Non-GAAP EPS</w:t>
            </w:r>
          </w:p>
        </w:tc>
        <w:tc>
          <w:tcPr>
            <w:tcW w:type="dxa" w:w="1440"/>
          </w:tcPr>
          <w:p>
            <w:r>
              <w:rPr>
                <w:rFonts w:ascii="Calibri" w:hAnsi="Calibri"/>
                <w:sz w:val="22"/>
              </w:rPr>
              <w:t>$3.05</w:t>
            </w:r>
          </w:p>
        </w:tc>
        <w:tc>
          <w:tcPr>
            <w:tcW w:type="dxa" w:w="1440"/>
          </w:tcPr>
          <w:p>
            <w:r>
              <w:rPr>
                <w:rFonts w:ascii="Calibri" w:hAnsi="Calibri"/>
                <w:sz w:val="22"/>
              </w:rPr>
              <w:t>$2.98</w:t>
            </w:r>
          </w:p>
        </w:tc>
        <w:tc>
          <w:tcPr>
            <w:tcW w:type="dxa" w:w="1440"/>
          </w:tcPr>
          <w:p>
            <w:r>
              <w:rPr>
                <w:rFonts w:ascii="Calibri" w:hAnsi="Calibri"/>
                <w:b/>
                <w:color w:val="30A46C"/>
                <w:sz w:val="22"/>
              </w:rPr>
              <w:t>+2.3%</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$3,335M</w:t>
            </w:r>
          </w:p>
        </w:tc>
        <w:tc>
          <w:tcPr>
            <w:tcW w:type="dxa" w:w="1440"/>
          </w:tcPr>
          <w:p>
            <w:r>
              <w:rPr>
                <w:rFonts w:ascii="Calibri" w:hAnsi="Calibri"/>
                <w:sz w:val="22"/>
              </w:rPr>
              <w:t>$3,312M</w:t>
            </w:r>
          </w:p>
        </w:tc>
        <w:tc>
          <w:tcPr>
            <w:tcW w:type="dxa" w:w="1440"/>
          </w:tcPr>
          <w:p>
            <w:r>
              <w:rPr>
                <w:rFonts w:ascii="Calibri" w:hAnsi="Calibri"/>
                <w:b/>
                <w:color w:val="30A46C"/>
                <w:sz w:val="22"/>
              </w:rPr>
              <w:t>+0.7%</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Non-GAAP EPS</w:t>
            </w:r>
          </w:p>
        </w:tc>
        <w:tc>
          <w:tcPr>
            <w:tcW w:type="dxa" w:w="1440"/>
          </w:tcPr>
          <w:p>
            <w:r>
              <w:rPr>
                <w:rFonts w:ascii="Calibri" w:hAnsi="Calibri"/>
                <w:sz w:val="22"/>
              </w:rPr>
              <w:t>$3.35</w:t>
            </w:r>
          </w:p>
        </w:tc>
        <w:tc>
          <w:tcPr>
            <w:tcW w:type="dxa" w:w="1440"/>
          </w:tcPr>
          <w:p>
            <w:r>
              <w:rPr>
                <w:rFonts w:ascii="Calibri" w:hAnsi="Calibri"/>
                <w:sz w:val="22"/>
              </w:rPr>
              <w:t>$3.32</w:t>
            </w:r>
          </w:p>
        </w:tc>
        <w:tc>
          <w:tcPr>
            <w:tcW w:type="dxa" w:w="1440"/>
          </w:tcPr>
          <w:p>
            <w:r>
              <w:rPr>
                <w:rFonts w:ascii="Calibri" w:hAnsi="Calibri"/>
                <w:b/>
                <w:color w:val="30A46C"/>
                <w:sz w:val="22"/>
              </w:rPr>
              <w:t>+0.9%</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$3,173M</w:t>
            </w:r>
          </w:p>
        </w:tc>
        <w:tc>
          <w:tcPr>
            <w:tcW w:type="dxa" w:w="1440"/>
          </w:tcPr>
          <w:p>
            <w:r>
              <w:rPr>
                <w:rFonts w:ascii="Calibri" w:hAnsi="Calibri"/>
                <w:sz w:val="22"/>
              </w:rPr>
              <w:t>$3,161M</w:t>
            </w:r>
          </w:p>
        </w:tc>
        <w:tc>
          <w:tcPr>
            <w:tcW w:type="dxa" w:w="1440"/>
          </w:tcPr>
          <w:p>
            <w:r>
              <w:rPr>
                <w:rFonts w:ascii="Calibri" w:hAnsi="Calibri"/>
                <w:b/>
                <w:color w:val="30A46C"/>
                <w:sz w:val="22"/>
              </w:rPr>
              <w:t>+0.4%</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Non-GAAP EPS</w:t>
            </w:r>
          </w:p>
        </w:tc>
        <w:tc>
          <w:tcPr>
            <w:tcW w:type="dxa" w:w="1440"/>
          </w:tcPr>
          <w:p>
            <w:r>
              <w:rPr>
                <w:rFonts w:ascii="Calibri" w:hAnsi="Calibri"/>
                <w:sz w:val="22"/>
              </w:rPr>
              <w:t>$3.11</w:t>
            </w:r>
          </w:p>
        </w:tc>
        <w:tc>
          <w:tcPr>
            <w:tcW w:type="dxa" w:w="1440"/>
          </w:tcPr>
          <w:p>
            <w:r>
              <w:rPr>
                <w:rFonts w:ascii="Calibri" w:hAnsi="Calibri"/>
                <w:sz w:val="22"/>
              </w:rPr>
              <w:t>$3.12</w:t>
            </w:r>
          </w:p>
        </w:tc>
        <w:tc>
          <w:tcPr>
            <w:tcW w:type="dxa" w:w="1440"/>
          </w:tcPr>
          <w:p>
            <w:r>
              <w:rPr>
                <w:rFonts w:ascii="Calibri" w:hAnsi="Calibri"/>
                <w:b/>
                <w:color w:val="E5484D"/>
                <w:sz w:val="22"/>
              </w:rPr>
              <w:t>-0.3%</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$2,926M</w:t>
            </w:r>
          </w:p>
        </w:tc>
        <w:tc>
          <w:tcPr>
            <w:tcW w:type="dxa" w:w="1440"/>
          </w:tcPr>
          <w:p>
            <w:r>
              <w:rPr>
                <w:rFonts w:ascii="Calibri" w:hAnsi="Calibri"/>
                <w:sz w:val="22"/>
              </w:rPr>
              <w:t>$2,903M</w:t>
            </w:r>
          </w:p>
        </w:tc>
        <w:tc>
          <w:tcPr>
            <w:tcW w:type="dxa" w:w="1440"/>
          </w:tcPr>
          <w:p>
            <w:r>
              <w:rPr>
                <w:rFonts w:ascii="Calibri" w:hAnsi="Calibri"/>
                <w:b/>
                <w:color w:val="30A46C"/>
                <w:sz w:val="22"/>
              </w:rPr>
              <w:t>+0.8%</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Non-GAAP EPS</w:t>
            </w:r>
          </w:p>
        </w:tc>
        <w:tc>
          <w:tcPr>
            <w:tcW w:type="dxa" w:w="1440"/>
          </w:tcPr>
          <w:p>
            <w:r>
              <w:rPr>
                <w:rFonts w:ascii="Calibri" w:hAnsi="Calibri"/>
                <w:sz w:val="22"/>
              </w:rPr>
              <w:t>$2.72</w:t>
            </w:r>
          </w:p>
        </w:tc>
        <w:tc>
          <w:tcPr>
            <w:tcW w:type="dxa" w:w="1440"/>
          </w:tcPr>
          <w:p>
            <w:r>
              <w:rPr>
                <w:rFonts w:ascii="Calibri" w:hAnsi="Calibri"/>
                <w:sz w:val="22"/>
              </w:rPr>
              <w:t>$2.67</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$2,835M</w:t>
            </w:r>
          </w:p>
        </w:tc>
        <w:tc>
          <w:tcPr>
            <w:tcW w:type="dxa" w:w="1440"/>
          </w:tcPr>
          <w:p>
            <w:r>
              <w:rPr>
                <w:rFonts w:ascii="Calibri" w:hAnsi="Calibri"/>
                <w:sz w:val="22"/>
              </w:rPr>
              <w:t>$2,828M</w:t>
            </w:r>
          </w:p>
        </w:tc>
        <w:tc>
          <w:tcPr>
            <w:tcW w:type="dxa" w:w="1440"/>
          </w:tcPr>
          <w:p>
            <w:r>
              <w:rPr>
                <w:rFonts w:ascii="Calibri" w:hAnsi="Calibri"/>
                <w:b/>
                <w:color w:val="30A46C"/>
                <w:sz w:val="22"/>
              </w:rPr>
              <w:t>+0.2%</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Non-GAAP EPS</w:t>
            </w:r>
          </w:p>
        </w:tc>
        <w:tc>
          <w:tcPr>
            <w:tcW w:type="dxa" w:w="1440"/>
          </w:tcPr>
          <w:p>
            <w:r>
              <w:rPr>
                <w:rFonts w:ascii="Calibri" w:hAnsi="Calibri"/>
                <w:sz w:val="22"/>
              </w:rPr>
              <w:t>$2.64</w:t>
            </w:r>
          </w:p>
        </w:tc>
        <w:tc>
          <w:tcPr>
            <w:tcW w:type="dxa" w:w="1440"/>
          </w:tcPr>
          <w:p>
            <w:r>
              <w:rPr>
                <w:rFonts w:ascii="Calibri" w:hAnsi="Calibri"/>
                <w:sz w:val="22"/>
              </w:rPr>
              <w:t>$2.59</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$3,111M</w:t>
            </w:r>
          </w:p>
        </w:tc>
        <w:tc>
          <w:tcPr>
            <w:tcW w:type="dxa" w:w="1440"/>
          </w:tcPr>
          <w:p>
            <w:r>
              <w:rPr>
                <w:rFonts w:ascii="Calibri" w:hAnsi="Calibri"/>
                <w:sz w:val="22"/>
              </w:rPr>
              <w:t>$3,100M</w:t>
            </w:r>
          </w:p>
        </w:tc>
        <w:tc>
          <w:tcPr>
            <w:tcW w:type="dxa" w:w="1440"/>
          </w:tcPr>
          <w:p>
            <w:r>
              <w:rPr>
                <w:rFonts w:ascii="Calibri" w:hAnsi="Calibri"/>
                <w:b/>
                <w:color w:val="30A46C"/>
                <w:sz w:val="22"/>
              </w:rPr>
              <w:t>+0.4%</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Non-GAAP EPS</w:t>
            </w:r>
          </w:p>
        </w:tc>
        <w:tc>
          <w:tcPr>
            <w:tcW w:type="dxa" w:w="1440"/>
          </w:tcPr>
          <w:p>
            <w:r>
              <w:rPr>
                <w:rFonts w:ascii="Calibri" w:hAnsi="Calibri"/>
                <w:sz w:val="22"/>
              </w:rPr>
              <w:t>$3.18</w:t>
            </w:r>
          </w:p>
        </w:tc>
        <w:tc>
          <w:tcPr>
            <w:tcW w:type="dxa" w:w="1440"/>
          </w:tcPr>
          <w:p>
            <w:r>
              <w:rPr>
                <w:rFonts w:ascii="Calibri" w:hAnsi="Calibri"/>
                <w:sz w:val="22"/>
              </w:rPr>
              <w:t>$3.13</w:t>
            </w:r>
          </w:p>
        </w:tc>
        <w:tc>
          <w:tcPr>
            <w:tcW w:type="dxa" w:w="1440"/>
          </w:tcPr>
          <w:p>
            <w:r>
              <w:rPr>
                <w:rFonts w:ascii="Calibri" w:hAnsi="Calibri"/>
                <w:b/>
                <w:color w:val="30A46C"/>
                <w:sz w:val="22"/>
              </w:rPr>
              <w:t>+1.6%</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$3,250M</w:t>
            </w:r>
          </w:p>
        </w:tc>
        <w:tc>
          <w:tcPr>
            <w:tcW w:type="dxa" w:w="1440"/>
          </w:tcPr>
          <w:p>
            <w:r>
              <w:rPr>
                <w:rFonts w:ascii="Calibri" w:hAnsi="Calibri"/>
                <w:sz w:val="22"/>
              </w:rPr>
              <w:t>$3,250M</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Q3 2024</w:t>
            </w:r>
          </w:p>
        </w:tc>
        <w:tc>
          <w:tcPr>
            <w:tcW w:type="dxa" w:w="1440"/>
          </w:tcPr>
          <w:p>
            <w:r>
              <w:rPr>
                <w:rFonts w:ascii="Calibri" w:hAnsi="Calibri"/>
                <w:sz w:val="22"/>
              </w:rPr>
              <w:t>Non-GAAP EPS</w:t>
            </w:r>
          </w:p>
        </w:tc>
        <w:tc>
          <w:tcPr>
            <w:tcW w:type="dxa" w:w="1440"/>
          </w:tcPr>
          <w:p>
            <w:r>
              <w:rPr>
                <w:rFonts w:ascii="Calibri" w:hAnsi="Calibri"/>
                <w:sz w:val="22"/>
              </w:rPr>
              <w:t>$3.45</w:t>
            </w:r>
          </w:p>
        </w:tc>
        <w:tc>
          <w:tcPr>
            <w:tcW w:type="dxa" w:w="1440"/>
          </w:tcPr>
          <w:p>
            <w:r>
              <w:rPr>
                <w:rFonts w:ascii="Calibri" w:hAnsi="Calibri"/>
                <w:sz w:val="22"/>
              </w:rPr>
              <w:t>$3.42</w:t>
            </w:r>
          </w:p>
        </w:tc>
        <w:tc>
          <w:tcPr>
            <w:tcW w:type="dxa" w:w="1440"/>
          </w:tcPr>
          <w:p>
            <w:r>
              <w:rPr>
                <w:rFonts w:ascii="Calibri" w:hAnsi="Calibri"/>
                <w:b/>
                <w:color w:val="30A46C"/>
                <w:sz w:val="22"/>
              </w:rPr>
              <w:t>+0.9%</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$3,127M</w:t>
            </w:r>
          </w:p>
        </w:tc>
        <w:tc>
          <w:tcPr>
            <w:tcW w:type="dxa" w:w="1440"/>
          </w:tcPr>
          <w:p>
            <w:r>
              <w:rPr>
                <w:rFonts w:ascii="Calibri" w:hAnsi="Calibri"/>
                <w:sz w:val="22"/>
              </w:rPr>
              <w:t>$3,125M</w:t>
            </w:r>
          </w:p>
        </w:tc>
        <w:tc>
          <w:tcPr>
            <w:tcW w:type="dxa" w:w="1440"/>
          </w:tcPr>
          <w:p>
            <w:r>
              <w:rPr>
                <w:rFonts w:ascii="Calibri" w:hAnsi="Calibri"/>
                <w:b/>
                <w:color w:val="30A46C"/>
                <w:sz w:val="22"/>
              </w:rPr>
              <w:t>+0.1%</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Non-GAAP EPS</w:t>
            </w:r>
          </w:p>
        </w:tc>
        <w:tc>
          <w:tcPr>
            <w:tcW w:type="dxa" w:w="1440"/>
          </w:tcPr>
          <w:p>
            <w:r>
              <w:rPr>
                <w:rFonts w:ascii="Calibri" w:hAnsi="Calibri"/>
                <w:sz w:val="22"/>
              </w:rPr>
              <w:t>$3.20</w:t>
            </w:r>
          </w:p>
        </w:tc>
        <w:tc>
          <w:tcPr>
            <w:tcW w:type="dxa" w:w="1440"/>
          </w:tcPr>
          <w:p>
            <w:r>
              <w:rPr>
                <w:rFonts w:ascii="Calibri" w:hAnsi="Calibri"/>
                <w:sz w:val="22"/>
              </w:rPr>
              <w:t>$3.20</w:t>
            </w:r>
          </w:p>
        </w:tc>
        <w:tc>
          <w:tcPr>
            <w:tcW w:type="dxa" w:w="1440"/>
          </w:tcPr>
          <w:p>
            <w:r>
              <w:rPr>
                <w:rFonts w:ascii="Calibri" w:hAnsi="Calibri"/>
                <w:sz w:val="22"/>
              </w:rPr>
              <w:t>0.0%</w:t>
            </w:r>
          </w:p>
        </w:tc>
        <w:tc>
          <w:tcPr>
            <w:tcW w:type="dxa" w:w="1440"/>
          </w:tcPr>
          <w:p>
            <w:r>
              <w:rPr>
                <w:rFonts w:ascii="Calibri" w:hAnsi="Calibri"/>
                <w:sz w:val="22"/>
              </w:rPr>
              <w:t>In Line</w:t>
            </w:r>
          </w:p>
        </w:tc>
      </w:tr>
    </w:tbl>
    <w:p>
      <w:r>
        <w:rPr>
          <w:rFonts w:ascii="Calibri" w:hAnsi="Calibri"/>
          <w:b/>
          <w:color w:val="525866"/>
          <w:sz w:val="22"/>
        </w:rPr>
        <w:t xml:space="preserve">Pattern: </w:t>
      </w:r>
      <w:r>
        <w:rPr>
          <w:rFonts w:ascii="Calibri" w:hAnsi="Calibri"/>
          <w:color w:val="525866"/>
          <w:sz w:val="22"/>
        </w:rPr>
        <w:t>NXPI has beaten or matched revenue consensus in 7 of the last 8 quarters, with beats consistently in the +0.1% to +0.8% range — a tight but reliable pattern of modest outperformance. EPS beats have been more consistent (7 of 8 quarters), with the one miss (Q3 2025, -0.3%) driven by a one-time margin headwind. The pattern suggests management guides conservatively and the bar is achievable, but the magnitude of beats has been small, meaning a large upside surprise would require a genuine demand acceleration above guidance.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2026 earnings call, but management tone has continued to strengthen — the pricing environment has shifted from expected low-single-digit declines to selective increases, and the data center ramp is tracking ahead of the original $500M+ full-year target.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$3.45B ± $100M</w:t>
            </w:r>
          </w:p>
        </w:tc>
        <w:tc>
          <w:tcPr>
            <w:tcW w:type="dxa" w:w="1728"/>
          </w:tcPr>
          <w:p>
            <w:r>
              <w:rPr>
                <w:rFonts w:ascii="Calibri" w:hAnsi="Calibri"/>
                <w:sz w:val="22"/>
              </w:rPr>
              <w:t>—</w:t>
            </w:r>
          </w:p>
        </w:tc>
        <w:tc>
          <w:tcPr>
            <w:tcW w:type="dxa" w:w="1728"/>
          </w:tcPr>
          <w:p>
            <w:r>
              <w:rPr>
                <w:rFonts w:ascii="Calibri" w:hAnsi="Calibri"/>
                <w:sz w:val="22"/>
              </w:rPr>
              <w:t>$3,468M</w:t>
            </w:r>
          </w:p>
        </w:tc>
        <w:tc>
          <w:tcPr>
            <w:tcW w:type="dxa" w:w="1728"/>
          </w:tcPr>
          <w:p>
            <w:r>
              <w:rPr>
                <w:rFonts w:ascii="Calibri" w:hAnsi="Calibri"/>
                <w:sz w:val="22"/>
              </w:rPr>
              <w:t>No post-earnings revision; consensus sits $18M above midpoint</w:t>
            </w:r>
          </w:p>
        </w:tc>
      </w:tr>
      <w:tr>
        <w:tc>
          <w:tcPr>
            <w:tcW w:type="dxa" w:w="1728"/>
          </w:tcPr>
          <w:p>
            <w:r>
              <w:rPr>
                <w:rFonts w:ascii="Calibri" w:hAnsi="Calibri"/>
                <w:sz w:val="22"/>
              </w:rPr>
              <w:t>Q2 2026 Non-GAAP Gross Margin</w:t>
            </w:r>
          </w:p>
        </w:tc>
        <w:tc>
          <w:tcPr>
            <w:tcW w:type="dxa" w:w="1728"/>
          </w:tcPr>
          <w:p>
            <w:r>
              <w:rPr>
                <w:rFonts w:ascii="Calibri" w:hAnsi="Calibri"/>
                <w:sz w:val="22"/>
              </w:rPr>
              <w:t>58.0% ± 50bps</w:t>
            </w:r>
          </w:p>
        </w:tc>
        <w:tc>
          <w:tcPr>
            <w:tcW w:type="dxa" w:w="1728"/>
          </w:tcPr>
          <w:p>
            <w:r>
              <w:rPr>
                <w:rFonts w:ascii="Calibri" w:hAnsi="Calibri"/>
                <w:sz w:val="22"/>
              </w:rPr>
              <w:t>—</w:t>
            </w:r>
          </w:p>
        </w:tc>
        <w:tc>
          <w:tcPr>
            <w:tcW w:type="dxa" w:w="1728"/>
          </w:tcPr>
          <w:p>
            <w:r>
              <w:rPr>
                <w:rFonts w:ascii="Calibri" w:hAnsi="Calibri"/>
                <w:sz w:val="22"/>
              </w:rPr>
              <w:t>~58.0%</w:t>
            </w:r>
          </w:p>
        </w:tc>
        <w:tc>
          <w:tcPr>
            <w:tcW w:type="dxa" w:w="1728"/>
          </w:tcPr>
          <w:p>
            <w:r>
              <w:rPr>
                <w:rFonts w:ascii="Calibri" w:hAnsi="Calibri"/>
                <w:sz w:val="22"/>
              </w:rPr>
              <w:t>No revision; Oppenheimer projects 58% in line with guidance</w:t>
            </w:r>
          </w:p>
        </w:tc>
      </w:tr>
      <w:tr>
        <w:tc>
          <w:tcPr>
            <w:tcW w:type="dxa" w:w="1728"/>
          </w:tcPr>
          <w:p>
            <w:r>
              <w:rPr>
                <w:rFonts w:ascii="Calibri" w:hAnsi="Calibri"/>
                <w:sz w:val="22"/>
              </w:rPr>
              <w:t>Q2 2026 Non-GAAP Operating Margin</w:t>
            </w:r>
          </w:p>
        </w:tc>
        <w:tc>
          <w:tcPr>
            <w:tcW w:type="dxa" w:w="1728"/>
          </w:tcPr>
          <w:p>
            <w:r>
              <w:rPr>
                <w:rFonts w:ascii="Calibri" w:hAnsi="Calibri"/>
                <w:sz w:val="22"/>
              </w:rPr>
              <w:t>34.7% (midpoint)</w:t>
            </w:r>
          </w:p>
        </w:tc>
        <w:tc>
          <w:tcPr>
            <w:tcW w:type="dxa" w:w="1728"/>
          </w:tcPr>
          <w:p>
            <w:r>
              <w:rPr>
                <w:rFonts w:ascii="Calibri" w:hAnsi="Calibri"/>
                <w:sz w:val="22"/>
              </w:rPr>
              <w:t>—</w:t>
            </w:r>
          </w:p>
        </w:tc>
        <w:tc>
          <w:tcPr>
            <w:tcW w:type="dxa" w:w="1728"/>
          </w:tcPr>
          <w:p>
            <w:r>
              <w:rPr>
                <w:rFonts w:ascii="Calibri" w:hAnsi="Calibri"/>
                <w:sz w:val="22"/>
              </w:rPr>
              <w:t>~34.7%</w:t>
            </w:r>
          </w:p>
        </w:tc>
        <w:tc>
          <w:tcPr>
            <w:tcW w:type="dxa" w:w="1728"/>
          </w:tcPr>
          <w:p>
            <w:r>
              <w:rPr>
                <w:rFonts w:ascii="Calibri" w:hAnsi="Calibri"/>
                <w:sz w:val="22"/>
              </w:rPr>
              <w:t>No revision; OpEx guided at $800M ± $10M</w:t>
            </w:r>
          </w:p>
        </w:tc>
      </w:tr>
      <w:tr>
        <w:tc>
          <w:tcPr>
            <w:tcW w:type="dxa" w:w="1728"/>
          </w:tcPr>
          <w:p>
            <w:r>
              <w:rPr>
                <w:rFonts w:ascii="Calibri" w:hAnsi="Calibri"/>
                <w:sz w:val="22"/>
              </w:rPr>
              <w:t>Q2 2026 Non-GAAP EPS</w:t>
            </w:r>
          </w:p>
        </w:tc>
        <w:tc>
          <w:tcPr>
            <w:tcW w:type="dxa" w:w="1728"/>
          </w:tcPr>
          <w:p>
            <w:r>
              <w:rPr>
                <w:rFonts w:ascii="Calibri" w:hAnsi="Calibri"/>
                <w:sz w:val="22"/>
              </w:rPr>
              <w:t>$3.50 (midpoint); range $3.29–$3.72</w:t>
            </w:r>
          </w:p>
        </w:tc>
        <w:tc>
          <w:tcPr>
            <w:tcW w:type="dxa" w:w="1728"/>
          </w:tcPr>
          <w:p>
            <w:r>
              <w:rPr>
                <w:rFonts w:ascii="Calibri" w:hAnsi="Calibri"/>
                <w:sz w:val="22"/>
              </w:rPr>
              <w:t>—</w:t>
            </w:r>
          </w:p>
        </w:tc>
        <w:tc>
          <w:tcPr>
            <w:tcW w:type="dxa" w:w="1728"/>
          </w:tcPr>
          <w:p>
            <w:r>
              <w:rPr>
                <w:rFonts w:ascii="Calibri" w:hAnsi="Calibri"/>
                <w:sz w:val="22"/>
              </w:rPr>
              <w:t>$3.54</w:t>
            </w:r>
          </w:p>
        </w:tc>
        <w:tc>
          <w:tcPr>
            <w:tcW w:type="dxa" w:w="1728"/>
          </w:tcPr>
          <w:p>
            <w:r>
              <w:rPr>
                <w:rFonts w:ascii="Calibri" w:hAnsi="Calibri"/>
                <w:sz w:val="22"/>
              </w:rPr>
              <w:t>No revision; consensus $0.04 above midpoint</w:t>
            </w:r>
          </w:p>
        </w:tc>
      </w:tr>
      <w:tr>
        <w:tc>
          <w:tcPr>
            <w:tcW w:type="dxa" w:w="1728"/>
          </w:tcPr>
          <w:p>
            <w:r>
              <w:rPr>
                <w:rFonts w:ascii="Calibri" w:hAnsi="Calibri"/>
                <w:sz w:val="22"/>
              </w:rPr>
              <w:t>Automotive Revenue (Q2)</w:t>
            </w:r>
          </w:p>
        </w:tc>
        <w:tc>
          <w:tcPr>
            <w:tcW w:type="dxa" w:w="1728"/>
          </w:tcPr>
          <w:p>
            <w:r>
              <w:rPr>
                <w:rFonts w:ascii="Calibri" w:hAnsi="Calibri"/>
                <w:sz w:val="22"/>
              </w:rPr>
              <w:t>Low double-digit % YoY; high single-digit % QoQ</w:t>
            </w:r>
          </w:p>
        </w:tc>
        <w:tc>
          <w:tcPr>
            <w:tcW w:type="dxa" w:w="1728"/>
          </w:tcPr>
          <w:p>
            <w:r>
              <w:rPr>
                <w:rFonts w:ascii="Calibri" w:hAnsi="Calibri"/>
                <w:sz w:val="22"/>
              </w:rPr>
              <w:t>—</w:t>
            </w:r>
          </w:p>
        </w:tc>
        <w:tc>
          <w:tcPr>
            <w:tcW w:type="dxa" w:w="1728"/>
          </w:tcPr>
          <w:p>
            <w:r>
              <w:rPr>
                <w:rFonts w:ascii="Calibri" w:hAnsi="Calibri"/>
                <w:sz w:val="22"/>
              </w:rPr>
              <w:t>$1,939M (+12.1% YoY)</w:t>
            </w:r>
          </w:p>
        </w:tc>
        <w:tc>
          <w:tcPr>
            <w:tcW w:type="dxa" w:w="1728"/>
          </w:tcPr>
          <w:p>
            <w:r>
              <w:rPr>
                <w:rFonts w:ascii="Calibri" w:hAnsi="Calibri"/>
                <w:sz w:val="22"/>
              </w:rPr>
              <w:t>TXN Q2 auto beat (mid-teens YoY) is a positive read-through</w:t>
            </w:r>
          </w:p>
        </w:tc>
      </w:tr>
      <w:tr>
        <w:tc>
          <w:tcPr>
            <w:tcW w:type="dxa" w:w="1728"/>
          </w:tcPr>
          <w:p>
            <w:r>
              <w:rPr>
                <w:rFonts w:ascii="Calibri" w:hAnsi="Calibri"/>
                <w:sz w:val="22"/>
              </w:rPr>
              <w:t>Industrial &amp; IoT Revenue (Q2)</w:t>
            </w:r>
          </w:p>
        </w:tc>
        <w:tc>
          <w:tcPr>
            <w:tcW w:type="dxa" w:w="1728"/>
          </w:tcPr>
          <w:p>
            <w:r>
              <w:rPr>
                <w:rFonts w:ascii="Calibri" w:hAnsi="Calibri"/>
                <w:sz w:val="22"/>
              </w:rPr>
              <w:t>High 30% YoY; high teens % QoQ</w:t>
            </w:r>
          </w:p>
        </w:tc>
        <w:tc>
          <w:tcPr>
            <w:tcW w:type="dxa" w:w="1728"/>
          </w:tcPr>
          <w:p>
            <w:r>
              <w:rPr>
                <w:rFonts w:ascii="Calibri" w:hAnsi="Calibri"/>
                <w:sz w:val="22"/>
              </w:rPr>
              <w:t>—</w:t>
            </w:r>
          </w:p>
        </w:tc>
        <w:tc>
          <w:tcPr>
            <w:tcW w:type="dxa" w:w="1728"/>
          </w:tcPr>
          <w:p>
            <w:r>
              <w:rPr>
                <w:rFonts w:ascii="Calibri" w:hAnsi="Calibri"/>
                <w:sz w:val="22"/>
              </w:rPr>
              <w:t>$742M (+35.9% YoY)</w:t>
            </w:r>
          </w:p>
        </w:tc>
        <w:tc>
          <w:tcPr>
            <w:tcW w:type="dxa" w:w="1728"/>
          </w:tcPr>
          <w:p>
            <w:r>
              <w:rPr>
                <w:rFonts w:ascii="Calibri" w:hAnsi="Calibri"/>
                <w:sz w:val="22"/>
              </w:rPr>
              <w:t>STM industrial +34% YoY in Q2 is a strong positive read-through</w:t>
            </w:r>
          </w:p>
        </w:tc>
      </w:tr>
      <w:tr>
        <w:tc>
          <w:tcPr>
            <w:tcW w:type="dxa" w:w="1728"/>
          </w:tcPr>
          <w:p>
            <w:r>
              <w:rPr>
                <w:rFonts w:ascii="Calibri" w:hAnsi="Calibri"/>
                <w:sz w:val="22"/>
              </w:rPr>
              <w:t>Comm. Infra &amp; Other Revenue (Q2)</w:t>
            </w:r>
          </w:p>
        </w:tc>
        <w:tc>
          <w:tcPr>
            <w:tcW w:type="dxa" w:w="1728"/>
          </w:tcPr>
          <w:p>
            <w:r>
              <w:rPr>
                <w:rFonts w:ascii="Calibri" w:hAnsi="Calibri"/>
                <w:sz w:val="22"/>
              </w:rPr>
              <w:t>Mid-30% YoY; mid-teens % QoQ</w:t>
            </w:r>
          </w:p>
        </w:tc>
        <w:tc>
          <w:tcPr>
            <w:tcW w:type="dxa" w:w="1728"/>
          </w:tcPr>
          <w:p>
            <w:r>
              <w:rPr>
                <w:rFonts w:ascii="Calibri" w:hAnsi="Calibri"/>
                <w:sz w:val="22"/>
              </w:rPr>
              <w:t>—</w:t>
            </w:r>
          </w:p>
        </w:tc>
        <w:tc>
          <w:tcPr>
            <w:tcW w:type="dxa" w:w="1728"/>
          </w:tcPr>
          <w:p>
            <w:r>
              <w:rPr>
                <w:rFonts w:ascii="Calibri" w:hAnsi="Calibri"/>
                <w:sz w:val="22"/>
              </w:rPr>
              <w:t>$440M (+37.7% YoY)</w:t>
            </w:r>
          </w:p>
        </w:tc>
        <w:tc>
          <w:tcPr>
            <w:tcW w:type="dxa" w:w="1728"/>
          </w:tcPr>
          <w:p>
            <w:r>
              <w:rPr>
                <w:rFonts w:ascii="Calibri" w:hAnsi="Calibri"/>
                <w:sz w:val="22"/>
              </w:rPr>
              <w:t>Data center ramp and RFID strength are key drivers</w:t>
            </w:r>
          </w:p>
        </w:tc>
      </w:tr>
      <w:tr>
        <w:tc>
          <w:tcPr>
            <w:tcW w:type="dxa" w:w="1728"/>
          </w:tcPr>
          <w:p>
            <w:r>
              <w:rPr>
                <w:rFonts w:ascii="Calibri" w:hAnsi="Calibri"/>
                <w:sz w:val="22"/>
              </w:rPr>
              <w:t>FY 2026 Data Center Revenue</w:t>
            </w:r>
          </w:p>
        </w:tc>
        <w:tc>
          <w:tcPr>
            <w:tcW w:type="dxa" w:w="1728"/>
          </w:tcPr>
          <w:p>
            <w:r>
              <w:rPr>
                <w:rFonts w:ascii="Calibri" w:hAnsi="Calibri"/>
                <w:sz w:val="22"/>
              </w:rPr>
              <w:t>"North of $500M" (first-ever disclosure)</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Management tone remains confident; STM raised data center target to &gt;$1B in 2026</w:t>
            </w:r>
          </w:p>
        </w:tc>
      </w:tr>
      <w:tr>
        <w:tc>
          <w:tcPr>
            <w:tcW w:type="dxa" w:w="1728"/>
          </w:tcPr>
          <w:p>
            <w:r>
              <w:rPr>
                <w:rFonts w:ascii="Calibri" w:hAnsi="Calibri"/>
                <w:sz w:val="22"/>
              </w:rPr>
              <w:t>Pricing Environment</w:t>
            </w:r>
          </w:p>
        </w:tc>
        <w:tc>
          <w:tcPr>
            <w:tcW w:type="dxa" w:w="1728"/>
          </w:tcPr>
          <w:p>
            <w:r>
              <w:rPr>
                <w:rFonts w:ascii="Calibri" w:hAnsi="Calibri"/>
                <w:sz w:val="22"/>
              </w:rPr>
              <w:t>Selective price increases in distribution; Q2 impact immaterial</w:t>
            </w:r>
          </w:p>
        </w:tc>
        <w:tc>
          <w:tcPr>
            <w:tcW w:type="dxa" w:w="1728"/>
          </w:tcPr>
          <w:p>
            <w:r>
              <w:rPr>
                <w:rFonts w:ascii="Calibri" w:hAnsi="Calibri"/>
                <w:sz w:val="22"/>
              </w:rPr>
              <w:t>Potential broadening to direct customers in H2 if cost pressures persist</w:t>
            </w:r>
          </w:p>
        </w:tc>
        <w:tc>
          <w:tcPr>
            <w:tcW w:type="dxa" w:w="1728"/>
          </w:tcPr>
          <w:p>
            <w:r>
              <w:rPr>
                <w:rFonts w:ascii="Calibri" w:hAnsi="Calibri"/>
                <w:sz w:val="22"/>
              </w:rPr>
              <w:t>N/A</w:t>
            </w:r>
          </w:p>
        </w:tc>
        <w:tc>
          <w:tcPr>
            <w:tcW w:type="dxa" w:w="1728"/>
          </w:tcPr>
          <w:p>
            <w:r>
              <w:rPr>
                <w:rFonts w:ascii="Calibri" w:hAnsi="Calibri"/>
                <w:sz w:val="22"/>
              </w:rPr>
              <w:t>↑ Tone shift: entered 2026 expecting low-single-digit price declines; now implementing selective increases — a meaningful reversal</w:t>
            </w:r>
          </w:p>
        </w:tc>
      </w:tr>
      <w:tr>
        <w:tc>
          <w:tcPr>
            <w:tcW w:type="dxa" w:w="1728"/>
          </w:tcPr>
          <w:p>
            <w:r>
              <w:rPr>
                <w:rFonts w:ascii="Calibri" w:hAnsi="Calibri"/>
                <w:sz w:val="22"/>
              </w:rPr>
              <w:t>Channel Inventory</w:t>
            </w:r>
          </w:p>
        </w:tc>
        <w:tc>
          <w:tcPr>
            <w:tcW w:type="dxa" w:w="1728"/>
          </w:tcPr>
          <w:p>
            <w:r>
              <w:rPr>
                <w:rFonts w:ascii="Calibri" w:hAnsi="Calibri"/>
                <w:sz w:val="22"/>
              </w:rPr>
              <w:t>Flat at 11 weeks (long-term target); Q2 guide based on no change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Normalization complete; any restocking would be an incremental tailwind not in guidance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modestly higher since the Q1 2026 print, tracking guidance rather than diverging — Q2 revenue consensus is up ~$8M from the post-Q1 baseline and FY 2026 consensus is up ~$102M, suggesting the street has absorbed the strong guide but has not yet priced in a beat. The gap between consensus and guidance midpoint is thin, leaving the stock sensitive to execution.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$3,460M</w:t>
            </w:r>
          </w:p>
        </w:tc>
        <w:tc>
          <w:tcPr>
            <w:tcW w:type="dxa" w:w="1080"/>
          </w:tcPr>
          <w:p>
            <w:r>
              <w:rPr>
                <w:rFonts w:ascii="Calibri" w:hAnsi="Calibri"/>
                <w:sz w:val="22"/>
              </w:rPr>
              <w:t>$3,468M</w:t>
            </w:r>
          </w:p>
        </w:tc>
        <w:tc>
          <w:tcPr>
            <w:tcW w:type="dxa" w:w="1080"/>
          </w:tcPr>
          <w:p>
            <w:r>
              <w:rPr>
                <w:rFonts w:ascii="Calibri" w:hAnsi="Calibri"/>
                <w:b/>
                <w:color w:val="30A46C"/>
                <w:sz w:val="22"/>
              </w:rPr>
              <w:t>+0.2%</w:t>
            </w:r>
          </w:p>
        </w:tc>
        <w:tc>
          <w:tcPr>
            <w:tcW w:type="dxa" w:w="1080"/>
          </w:tcPr>
          <w:p>
            <w:r>
              <w:rPr>
                <w:rFonts w:ascii="Calibri" w:hAnsi="Calibri"/>
                <w:sz w:val="22"/>
              </w:rPr>
              <w:t>$3,450M midpoint ($3,350–$3,550M)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w:t>
            </w:r>
          </w:p>
        </w:tc>
      </w:tr>
      <w:tr>
        <w:tc>
          <w:tcPr>
            <w:tcW w:type="dxa" w:w="1080"/>
          </w:tcPr>
          <w:p>
            <w:r>
              <w:rPr>
                <w:rFonts w:ascii="Calibri" w:hAnsi="Calibri"/>
                <w:sz w:val="22"/>
              </w:rPr>
              <w:t>Non-GAAP EPS — Q2 2026</w:t>
            </w:r>
          </w:p>
        </w:tc>
        <w:tc>
          <w:tcPr>
            <w:tcW w:type="dxa" w:w="1080"/>
          </w:tcPr>
          <w:p>
            <w:r>
              <w:rPr>
                <w:rFonts w:ascii="Calibri" w:hAnsi="Calibri"/>
                <w:sz w:val="22"/>
              </w:rPr>
              <w:t>$3.53</w:t>
            </w:r>
          </w:p>
        </w:tc>
        <w:tc>
          <w:tcPr>
            <w:tcW w:type="dxa" w:w="1080"/>
          </w:tcPr>
          <w:p>
            <w:r>
              <w:rPr>
                <w:rFonts w:ascii="Calibri" w:hAnsi="Calibri"/>
                <w:sz w:val="22"/>
              </w:rPr>
              <w:t>$3.54</w:t>
            </w:r>
          </w:p>
        </w:tc>
        <w:tc>
          <w:tcPr>
            <w:tcW w:type="dxa" w:w="1080"/>
          </w:tcPr>
          <w:p>
            <w:r>
              <w:rPr>
                <w:rFonts w:ascii="Calibri" w:hAnsi="Calibri"/>
                <w:b/>
                <w:color w:val="30A46C"/>
                <w:sz w:val="22"/>
              </w:rPr>
              <w:t>+0.3%</w:t>
            </w:r>
          </w:p>
        </w:tc>
        <w:tc>
          <w:tcPr>
            <w:tcW w:type="dxa" w:w="1080"/>
          </w:tcPr>
          <w:p>
            <w:r>
              <w:rPr>
                <w:rFonts w:ascii="Calibri" w:hAnsi="Calibri"/>
                <w:sz w:val="22"/>
              </w:rPr>
              <w:t>$3.50 midpoint ($3.29–$3.72)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w:t>
            </w:r>
          </w:p>
        </w:tc>
      </w:tr>
      <w:tr>
        <w:tc>
          <w:tcPr>
            <w:tcW w:type="dxa" w:w="1080"/>
          </w:tcPr>
          <w:p>
            <w:r>
              <w:rPr>
                <w:rFonts w:ascii="Calibri" w:hAnsi="Calibri"/>
                <w:sz w:val="22"/>
              </w:rPr>
              <w:t>Revenue — FY 2026</w:t>
            </w:r>
          </w:p>
        </w:tc>
        <w:tc>
          <w:tcPr>
            <w:tcW w:type="dxa" w:w="1080"/>
          </w:tcPr>
          <w:p>
            <w:r>
              <w:rPr>
                <w:rFonts w:ascii="Calibri" w:hAnsi="Calibri"/>
                <w:sz w:val="22"/>
              </w:rPr>
              <w:t>$14,035M</w:t>
            </w:r>
          </w:p>
        </w:tc>
        <w:tc>
          <w:tcPr>
            <w:tcW w:type="dxa" w:w="1080"/>
          </w:tcPr>
          <w:p>
            <w:r>
              <w:rPr>
                <w:rFonts w:ascii="Calibri" w:hAnsi="Calibri"/>
                <w:sz w:val="22"/>
              </w:rPr>
              <w:t>$14,137M</w:t>
            </w:r>
          </w:p>
        </w:tc>
        <w:tc>
          <w:tcPr>
            <w:tcW w:type="dxa" w:w="1080"/>
          </w:tcPr>
          <w:p>
            <w:r>
              <w:rPr>
                <w:rFonts w:ascii="Calibri" w:hAnsi="Calibri"/>
                <w:b/>
                <w:color w:val="30A46C"/>
                <w:sz w:val="22"/>
              </w:rPr>
              <w:t>+0.7%</w:t>
            </w:r>
          </w:p>
        </w:tc>
        <w:tc>
          <w:tcPr>
            <w:tcW w:type="dxa" w:w="1080"/>
          </w:tcPr>
          <w:p>
            <w:r>
              <w:rPr>
                <w:rFonts w:ascii="Calibri" w:hAnsi="Calibri"/>
                <w:sz w:val="22"/>
              </w:rPr>
              <w:t>Within long-term model (reaffirmed)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FY 2026</w:t>
            </w:r>
          </w:p>
        </w:tc>
        <w:tc>
          <w:tcPr>
            <w:tcW w:type="dxa" w:w="1080"/>
          </w:tcPr>
          <w:p>
            <w:r>
              <w:rPr>
                <w:rFonts w:ascii="Calibri" w:hAnsi="Calibri"/>
                <w:sz w:val="22"/>
              </w:rPr>
              <w:t>$14.75</w:t>
            </w:r>
          </w:p>
        </w:tc>
        <w:tc>
          <w:tcPr>
            <w:tcW w:type="dxa" w:w="1080"/>
          </w:tcPr>
          <w:p>
            <w:r>
              <w:rPr>
                <w:rFonts w:ascii="Calibri" w:hAnsi="Calibri"/>
                <w:sz w:val="22"/>
              </w:rPr>
              <w:t>$14.95</w:t>
            </w:r>
          </w:p>
        </w:tc>
        <w:tc>
          <w:tcPr>
            <w:tcW w:type="dxa" w:w="1080"/>
          </w:tcPr>
          <w:p>
            <w:r>
              <w:rPr>
                <w:rFonts w:ascii="Calibri" w:hAnsi="Calibri"/>
                <w:b/>
                <w:color w:val="30A46C"/>
                <w:sz w:val="22"/>
              </w:rPr>
              <w:t>+1.4%</w:t>
            </w:r>
          </w:p>
        </w:tc>
        <w:tc>
          <w:tcPr>
            <w:tcW w:type="dxa" w:w="1080"/>
          </w:tcPr>
          <w:p>
            <w:r>
              <w:rPr>
                <w:rFonts w:ascii="Calibri" w:hAnsi="Calibri"/>
                <w:sz w:val="22"/>
              </w:rPr>
              <w:t>Within long-term model (reaffirmed)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 2027</w:t>
            </w:r>
          </w:p>
        </w:tc>
        <w:tc>
          <w:tcPr>
            <w:tcW w:type="dxa" w:w="1080"/>
          </w:tcPr>
          <w:p>
            <w:r>
              <w:rPr>
                <w:rFonts w:ascii="Calibri" w:hAnsi="Calibri"/>
                <w:sz w:val="22"/>
              </w:rPr>
              <w:t>$15,593M</w:t>
            </w:r>
          </w:p>
        </w:tc>
        <w:tc>
          <w:tcPr>
            <w:tcW w:type="dxa" w:w="1080"/>
          </w:tcPr>
          <w:p>
            <w:r>
              <w:rPr>
                <w:rFonts w:ascii="Calibri" w:hAnsi="Calibri"/>
                <w:sz w:val="22"/>
              </w:rPr>
              <w:t>$15,760M</w:t>
            </w:r>
          </w:p>
        </w:tc>
        <w:tc>
          <w:tcPr>
            <w:tcW w:type="dxa" w:w="1080"/>
          </w:tcPr>
          <w:p>
            <w:r>
              <w:rPr>
                <w:rFonts w:ascii="Calibri" w:hAnsi="Calibri"/>
                <w:b/>
                <w:color w:val="30A46C"/>
                <w:sz w:val="22"/>
              </w:rPr>
              <w:t>+1.1%</w:t>
            </w:r>
          </w:p>
        </w:tc>
        <w:tc>
          <w:tcPr>
            <w:tcW w:type="dxa" w:w="1080"/>
          </w:tcPr>
          <w:p>
            <w:r>
              <w:rPr>
                <w:rFonts w:ascii="Calibri" w:hAnsi="Calibri"/>
                <w:sz w:val="22"/>
              </w:rPr>
              <w:t>2027 Analyst Day targets reaffirmed with increasing conviction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FY 2027</w:t>
            </w:r>
          </w:p>
        </w:tc>
        <w:tc>
          <w:tcPr>
            <w:tcW w:type="dxa" w:w="1080"/>
          </w:tcPr>
          <w:p>
            <w:r>
              <w:rPr>
                <w:rFonts w:ascii="Calibri" w:hAnsi="Calibri"/>
                <w:sz w:val="22"/>
              </w:rPr>
              <w:t>$17.69</w:t>
            </w:r>
          </w:p>
        </w:tc>
        <w:tc>
          <w:tcPr>
            <w:tcW w:type="dxa" w:w="1080"/>
          </w:tcPr>
          <w:p>
            <w:r>
              <w:rPr>
                <w:rFonts w:ascii="Calibri" w:hAnsi="Calibri"/>
                <w:sz w:val="22"/>
              </w:rPr>
              <w:t>$18.05</w:t>
            </w:r>
          </w:p>
        </w:tc>
        <w:tc>
          <w:tcPr>
            <w:tcW w:type="dxa" w:w="1080"/>
          </w:tcPr>
          <w:p>
            <w:r>
              <w:rPr>
                <w:rFonts w:ascii="Calibri" w:hAnsi="Calibri"/>
                <w:b/>
                <w:color w:val="30A46C"/>
                <w:sz w:val="22"/>
              </w:rPr>
              <w:t>+2.0%</w:t>
            </w:r>
          </w:p>
        </w:tc>
        <w:tc>
          <w:tcPr>
            <w:tcW w:type="dxa" w:w="1080"/>
          </w:tcPr>
          <w:p>
            <w:r>
              <w:rPr>
                <w:rFonts w:ascii="Calibri" w:hAnsi="Calibri"/>
                <w:sz w:val="22"/>
              </w:rPr>
              <w:t>2027 Analyst Day targets reaffirmed with increasing conviction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Post-Q1 baseline uses consensus as of May 5, 2026 (approximately 5 trading days after the April 28, 2026 earnings release).</w:t>
      </w:r>
    </w:p>
    <w:p>
      <w:r>
        <w:rPr>
          <w:rFonts w:ascii="Calibri" w:hAnsi="Calibri"/>
          <w:color w:val="525866"/>
          <w:sz w:val="22"/>
        </w:rPr>
        <w:t>Estimates have drifted modestly higher across all periods since the Q1 print, with FY 2027 EPS showing the largest revision (+2.0%) as the market has gradually increased confidence in the 2027 Analyst Day targets. The near-term Q2 revisions are minimal (+0.2–0.3%), consistent with a market that has priced in the guide but not a beat. The thin gap between consensus and guidance midpoint means any execution shortfall would be punished, while a clean beat with strong H2 commentary could re-rate the stock.</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NXPI surged ~26% on Q1 earnings day (Apr 28) driven by the strong beat and data center disclosure, but has since underperformed SOXX meaningfully — the stock is up ~16% since Q1 earnings vs. SOXX +18% and SPY +4%, suggesting multiple compression has offset the fundamental improvement and the stock is no longer pricing in a beat.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NXPI vs. SOXX (iShares Semiconductor ETF) vs. S&amp;P 500 (SPY) — Indexed to 100 at Q1 2026 Earnings (April 28, 2026). Source: Yahoo Finance.</w:t>
      </w:r>
    </w:p>
    <w:p>
      <w:r>
        <w:rPr>
          <w:rFonts w:ascii="Calibri" w:hAnsi="Calibri"/>
          <w:b/>
          <w:color w:val="525866"/>
          <w:sz w:val="22"/>
        </w:rPr>
        <w:t xml:space="preserve">Sector ETF used: </w:t>
      </w:r>
      <w:r>
        <w:rPr>
          <w:rFonts w:ascii="Calibri" w:hAnsi="Calibri"/>
          <w:color w:val="525866"/>
          <w:sz w:val="22"/>
        </w:rPr>
        <w:t>SOXX (iShares Semiconductor ETF) — appropriate for NXPI's sub-sector as a diversified semiconductor company with primary exposure to automotive, industrial, and communications infrastructure end markets.</w:t>
      </w:r>
    </w:p>
    <w:p>
      <w:r>
        <w:rPr>
          <w:rFonts w:ascii="Calibri" w:hAnsi="Calibri"/>
          <w:b/>
          <w:color w:val="525866"/>
          <w:sz w:val="22"/>
        </w:rPr>
        <w:t xml:space="preserve">Key observations: </w:t>
      </w:r>
      <w:r>
        <w:rPr>
          <w:rFonts w:ascii="Calibri" w:hAnsi="Calibri"/>
          <w:color w:val="525866"/>
          <w:sz w:val="22"/>
        </w:rPr>
        <w:t>(1) NXPI gapped up ~26% on April 29 (the trading day after Q1 earnings), the largest single-day move in recent history, driven by the broad beat, strong Q2 guide, and first-ever data center revenue disclosure. (2) The stock peaked near $333 in late May before pulling back sharply, giving back roughly half the post-earnings gain. (3) SOXX has continued to rally through June–July on broader AI/semiconductor enthusiasm, while NXPI has lagged — suggesting the market is applying a discount to NXPI's automotive-heavy mix relative to AI-pure-play peers. (4) As of July 28, NXPI trades at ~$268, approximately 7% below its post-Q1 peak, entering earnings with a more modest setup than the immediate post-Q1 euphoria implied. (5) Material events marked: Q1 2026 Earnings (Apr 28), QCOM Investor Day (Jun 24), TXN Q2 Earnings (Jul 22), STM Q2 Earnings (Jul 23) — the TXN and STM prints provided positive read-throughs for automotive and industrial demand.</w:t>
      </w:r>
    </w:p>
    <w:p>
      <w:r>
        <w:br w:type="page"/>
      </w:r>
    </w:p>
    <w:p>
      <w:pPr>
        <w:pStyle w:val="Heading2"/>
      </w:pPr>
      <w:r>
        <w:rPr>
          <w:rFonts w:ascii="Calibri" w:hAnsi="Calibri"/>
          <w:b/>
          <w:color w:val="3B4259"/>
          <w:sz w:val="28"/>
        </w:rPr>
        <w:t>6. Peer Commentaries — Read-Through (Last 60 Days, Q2 2026 Relevant)</w:t>
      </w:r>
    </w:p>
    <w:p>
      <w:r>
        <w:rPr>
          <w:rFonts w:ascii="Calibri" w:hAnsi="Calibri"/>
          <w:b/>
          <w:color w:val="525866"/>
          <w:sz w:val="22"/>
        </w:rPr>
        <w:t xml:space="preserve">Key Takeaway: </w:t>
      </w:r>
      <w:r>
        <w:rPr>
          <w:rFonts w:ascii="Calibri" w:hAnsi="Calibri"/>
          <w:color w:val="525866"/>
          <w:sz w:val="22"/>
        </w:rPr>
        <w:t>Peer commentary from TXN (Q2 2026 earnings, Jul 22) and STM (Q2 2026 earnings, Jul 23) provides the most direct and timely read-through for NXPI's Q2 print — both confirm accelerating automotive and industrial demand, pricing power returning, and channel inventory at or below target, all of which are positive signals for NXPI's Q2 execution.</w:t>
      </w:r>
    </w:p>
    <w:p>
      <w:r>
        <w:rPr>
          <w:rFonts w:ascii="Calibri" w:hAnsi="Calibri"/>
          <w:i/>
          <w:color w:val="525866"/>
          <w:sz w:val="22"/>
        </w:rPr>
        <w:t>Note: Only commentary from peers reporting Q2 2026 results or providing Q2 2026 forward guidance is included. Q1 2025 earnings commentary from prior quarters has been excluded.</w:t>
      </w:r>
    </w:p>
    <w:p>
      <w:pPr>
        <w:pStyle w:val="Heading3"/>
      </w:pPr>
      <w:r>
        <w:rPr>
          <w:rFonts w:ascii="Calibri" w:hAnsi="Calibri"/>
          <w:b/>
          <w:color w:val="3B4259"/>
          <w:sz w:val="24"/>
        </w:rPr>
        <w:t>Texas Instruments (TXN) — Q2 2026 Earnings (July 22, 2026)</w:t>
      </w:r>
    </w:p>
    <w:p>
      <w:r>
        <w:rPr>
          <w:rFonts w:ascii="Calibri" w:hAnsi="Calibri"/>
          <w:b/>
          <w:color w:val="525866"/>
          <w:sz w:val="22"/>
        </w:rPr>
        <w:t xml:space="preserve">Relevance to NXPI: </w:t>
      </w:r>
      <w:r>
        <w:rPr>
          <w:rFonts w:ascii="Calibri" w:hAnsi="Calibri"/>
          <w:color w:val="525866"/>
          <w:sz w:val="22"/>
        </w:rPr>
        <w:t>TXN is the most direct analog/mixed-signal peer with overlapping automotive and industrial end markets. TXN's Q2 results are the single most important read-through for NXPI.</w:t>
      </w:r>
    </w:p>
    <w:p>
      <w:pPr>
        <w:pStyle w:val="ListBullet"/>
        <w:ind w:left="360" w:hanging="360"/>
      </w:pPr>
      <w:r>
        <w:rPr>
          <w:rFonts w:ascii="Calibri" w:hAnsi="Calibri"/>
          <w:b/>
          <w:color w:val="525866"/>
          <w:sz w:val="22"/>
        </w:rPr>
        <w:t xml:space="preserve">Automotive demand accelerated sharply in Q2, with revenue up mid-teens YoY and upper-single-digits QoQ. </w:t>
      </w:r>
      <w:r>
        <w:rPr>
          <w:rFonts w:ascii="Calibri" w:hAnsi="Calibri"/>
          <w:color w:val="525866"/>
          <w:sz w:val="22"/>
        </w:rPr>
        <w:t xml:space="preserve">TXN's CEO stated demand "built up as we went through the quarter, led by China" and attributed the inflection to EVs/hybrids and customers who had taken inventory to "very low levels." </w:t>
      </w:r>
    </w:p>
    <w:p>
      <w:pPr>
        <w:pStyle w:val="ListBullet"/>
        <w:ind w:left="360" w:hanging="360"/>
      </w:pPr>
      <w:r>
        <w:rPr>
          <w:rFonts w:ascii="Calibri" w:hAnsi="Calibri"/>
          <w:b/>
          <w:color w:val="525866"/>
          <w:sz w:val="22"/>
        </w:rPr>
        <w:t xml:space="preserve">Read-through for NXPI: </w:t>
      </w:r>
      <w:r>
        <w:rPr>
          <w:rFonts w:ascii="Calibri" w:hAnsi="Calibri"/>
          <w:color w:val="525866"/>
          <w:sz w:val="22"/>
        </w:rPr>
        <w:t>Strongly positive. NXPI guided automotive up low-double-digit % YoY for Q2 — TXN's mid-teens YoY beat suggests the automotive demand environment may have been stronger than NXPI's guidance implied. TXN's CEO characterized this as "the start of a cycle that is very, very broad," which supports NXPI's thesis of structural content growth.</w:t>
      </w:r>
    </w:p>
    <w:p>
      <w:pPr>
        <w:pStyle w:val="ListBullet"/>
        <w:ind w:left="360" w:hanging="360"/>
      </w:pPr>
      <w:r>
        <w:rPr>
          <w:rFonts w:ascii="Calibri" w:hAnsi="Calibri"/>
          <w:b/>
          <w:color w:val="525866"/>
          <w:sz w:val="22"/>
        </w:rPr>
        <w:t xml:space="preserve">Industrial demand surged ~30% YoY and ~10% QoQ, growing broadly across sectors and regions. </w:t>
      </w:r>
      <w:r>
        <w:rPr>
          <w:rFonts w:ascii="Calibri" w:hAnsi="Calibri"/>
          <w:color w:val="525866"/>
          <w:sz w:val="22"/>
        </w:rPr>
        <w:t>TXN noted customers are "early and have not yet building inventory," suggesting the recovery is demand-driven rather than restocking-driven. Data center was cited as a "tailwind into the industrial market" via energy infrastructure and test &amp; measurement.</w:t>
      </w:r>
    </w:p>
    <w:p>
      <w:pPr>
        <w:pStyle w:val="ListBullet"/>
        <w:ind w:left="360" w:hanging="360"/>
      </w:pPr>
      <w:r>
        <w:rPr>
          <w:rFonts w:ascii="Calibri" w:hAnsi="Calibri"/>
          <w:b/>
          <w:color w:val="525866"/>
          <w:sz w:val="22"/>
        </w:rPr>
        <w:t xml:space="preserve">Read-through for NXPI: </w:t>
      </w:r>
      <w:r>
        <w:rPr>
          <w:rFonts w:ascii="Calibri" w:hAnsi="Calibri"/>
          <w:color w:val="525866"/>
          <w:sz w:val="22"/>
        </w:rPr>
        <w:t>Strongly positive. NXPI guided Industrial &amp; IoT up high-30% YoY — TXN's ~30% YoY industrial growth is directionally consistent and confirms the broad-based recovery. The absence of restocking is also consistent with NXPI management's commentary that no broad-based restocking has been observed.</w:t>
      </w:r>
    </w:p>
    <w:p>
      <w:pPr>
        <w:pStyle w:val="ListBullet"/>
        <w:ind w:left="360" w:hanging="360"/>
      </w:pPr>
      <w:r>
        <w:rPr>
          <w:rFonts w:ascii="Calibri" w:hAnsi="Calibri"/>
          <w:b/>
          <w:color w:val="525866"/>
          <w:sz w:val="22"/>
        </w:rPr>
        <w:t xml:space="preserve">Pricing: TXN has started executing price increases on a customer-by-customer basis, </w:t>
      </w:r>
      <w:r>
        <w:rPr>
          <w:rFonts w:ascii="Calibri" w:hAnsi="Calibri"/>
          <w:color w:val="525866"/>
          <w:sz w:val="22"/>
        </w:rPr>
        <w:t>with some taking effect in Q3 and others in Q4. Pricing was "stable" in H1 (flat vs. typical low-single-digit annual declines), which TXN called "an above average year."</w:t>
      </w:r>
    </w:p>
    <w:p>
      <w:pPr>
        <w:pStyle w:val="ListBullet"/>
        <w:ind w:left="360" w:hanging="360"/>
      </w:pPr>
      <w:r>
        <w:rPr>
          <w:rFonts w:ascii="Calibri" w:hAnsi="Calibri"/>
          <w:b/>
          <w:color w:val="525866"/>
          <w:sz w:val="22"/>
        </w:rPr>
        <w:t xml:space="preserve">Read-through for NXPI: </w:t>
      </w:r>
      <w:r>
        <w:rPr>
          <w:rFonts w:ascii="Calibri" w:hAnsi="Calibri"/>
          <w:color w:val="525866"/>
          <w:sz w:val="22"/>
        </w:rPr>
        <w:t>Positive. NXPI is also implementing selective price increases in distribution — TXN's confirmation that pricing is holding and increases are being implemented validates NXPI's pricing posture and reduces the risk of margin compression from input cost inflation.</w:t>
      </w:r>
    </w:p>
    <w:p>
      <w:pPr>
        <w:pStyle w:val="ListBullet"/>
        <w:ind w:left="360" w:hanging="360"/>
      </w:pPr>
      <w:r>
        <w:rPr>
          <w:rFonts w:ascii="Calibri" w:hAnsi="Calibri"/>
          <w:b/>
          <w:color w:val="525866"/>
          <w:sz w:val="22"/>
        </w:rPr>
        <w:t xml:space="preserve">Channel inventory: TXN's own inventory fell to $4.6B (196 days, down 13 days QoQ). </w:t>
      </w:r>
      <w:r>
        <w:rPr>
          <w:rFonts w:ascii="Calibri" w:hAnsi="Calibri"/>
          <w:color w:val="525866"/>
          <w:sz w:val="22"/>
        </w:rPr>
        <w:t>Automotive customers have taken inventory to "very low levels"; industrial customers are "early and have not yet building inventory." TXN plans to maintain inventory ahead of demand to capture upside.</w:t>
      </w:r>
    </w:p>
    <w:p>
      <w:pPr>
        <w:pStyle w:val="ListBullet"/>
        <w:ind w:left="360" w:hanging="360"/>
      </w:pPr>
      <w:r>
        <w:rPr>
          <w:rFonts w:ascii="Calibri" w:hAnsi="Calibri"/>
          <w:b/>
          <w:color w:val="525866"/>
          <w:sz w:val="22"/>
        </w:rPr>
        <w:t xml:space="preserve">Read-through for NXPI: </w:t>
      </w:r>
      <w:r>
        <w:rPr>
          <w:rFonts w:ascii="Calibri" w:hAnsi="Calibri"/>
          <w:color w:val="525866"/>
          <w:sz w:val="22"/>
        </w:rPr>
        <w:t>Positive. Lean customer inventory levels across automotive and industrial are consistent with NXPI's channel inventory at 11 weeks (target level) and support the view that demand is real rather than pull-forward.</w:t>
      </w:r>
    </w:p>
    <w:p>
      <w:pPr>
        <w:pStyle w:val="ListBullet"/>
        <w:ind w:left="360" w:hanging="360"/>
      </w:pPr>
      <w:r>
        <w:rPr>
          <w:rFonts w:ascii="Calibri" w:hAnsi="Calibri"/>
          <w:b/>
          <w:color w:val="525866"/>
          <w:sz w:val="22"/>
        </w:rPr>
        <w:t xml:space="preserve">Q3 2026 guidance: Revenue $5.65–$6.15B (midpoint $5.90B), implying continued strong growth. </w:t>
      </w:r>
      <w:r>
        <w:rPr>
          <w:rFonts w:ascii="Calibri" w:hAnsi="Calibri"/>
          <w:color w:val="525866"/>
          <w:sz w:val="22"/>
        </w:rPr>
        <w:t>TXN expects "strong demand across the board" in Q3 from industrial, data center, and automotive, plus traditional personal electronics seasonality.</w:t>
      </w:r>
    </w:p>
    <w:p>
      <w:pPr>
        <w:pStyle w:val="ListBullet"/>
        <w:ind w:left="360" w:hanging="360"/>
      </w:pPr>
      <w:r>
        <w:rPr>
          <w:rFonts w:ascii="Calibri" w:hAnsi="Calibri"/>
          <w:b/>
          <w:color w:val="525866"/>
          <w:sz w:val="22"/>
        </w:rPr>
        <w:t xml:space="preserve">Read-through for NXPI: </w:t>
      </w:r>
      <w:r>
        <w:rPr>
          <w:rFonts w:ascii="Calibri" w:hAnsi="Calibri"/>
          <w:color w:val="525866"/>
          <w:sz w:val="22"/>
        </w:rPr>
        <w:t>Positive for NXPI's Q3 setup and H2 2026 outlook. TXN's broad-based demand confidence supports NXPI management's characterization of the remainder of 2026 as "stronger than anticipated."</w:t>
      </w:r>
    </w:p>
    <w:p>
      <w:pPr>
        <w:pStyle w:val="Heading3"/>
      </w:pPr>
      <w:r>
        <w:rPr>
          <w:rFonts w:ascii="Calibri" w:hAnsi="Calibri"/>
          <w:b/>
          <w:color w:val="3B4259"/>
          <w:sz w:val="24"/>
        </w:rPr>
        <w:t>STMicroelectronics (STM) — Q2 2026 Earnings (July 23, 2026)</w:t>
      </w:r>
    </w:p>
    <w:p>
      <w:r>
        <w:rPr>
          <w:rFonts w:ascii="Calibri" w:hAnsi="Calibri"/>
          <w:b/>
          <w:color w:val="525866"/>
          <w:sz w:val="22"/>
        </w:rPr>
        <w:t xml:space="preserve">Relevance to NXPI: </w:t>
      </w:r>
      <w:r>
        <w:rPr>
          <w:rFonts w:ascii="Calibri" w:hAnsi="Calibri"/>
          <w:color w:val="525866"/>
          <w:sz w:val="22"/>
        </w:rPr>
        <w:t>STM is a direct European analog/mixed-signal peer with significant automotive (including SiC/EV) and industrial IoT exposure. STM's Q2 results are the second most important read-through for NXPI.</w:t>
      </w:r>
    </w:p>
    <w:p>
      <w:pPr>
        <w:pStyle w:val="ListBullet"/>
        <w:ind w:left="360" w:hanging="360"/>
      </w:pPr>
      <w:r>
        <w:rPr>
          <w:rFonts w:ascii="Calibri" w:hAnsi="Calibri"/>
          <w:b/>
          <w:color w:val="525866"/>
          <w:sz w:val="22"/>
        </w:rPr>
        <w:t xml:space="preserve">Automotive revenue beat expectations, up 14% QoQ and 16% YoY in Q2. </w:t>
      </w:r>
      <w:r>
        <w:rPr>
          <w:rFonts w:ascii="Calibri" w:hAnsi="Calibri"/>
          <w:color w:val="525866"/>
          <w:sz w:val="22"/>
        </w:rPr>
        <w:t>Growth was driven by application-specific ICs and sensors for conventional applications, electrical powertrains, and ADAS. STM expects automotive to grow at a low-double-digit rate for the full year, consistent with the ~13–14% industry expectation.</w:t>
      </w:r>
    </w:p>
    <w:p>
      <w:pPr>
        <w:pStyle w:val="ListBullet"/>
        <w:ind w:left="360" w:hanging="360"/>
      </w:pPr>
      <w:r>
        <w:rPr>
          <w:rFonts w:ascii="Calibri" w:hAnsi="Calibri"/>
          <w:b/>
          <w:color w:val="525866"/>
          <w:sz w:val="22"/>
        </w:rPr>
        <w:t xml:space="preserve">Read-through for NXPI: </w:t>
      </w:r>
      <w:r>
        <w:rPr>
          <w:rFonts w:ascii="Calibri" w:hAnsi="Calibri"/>
          <w:color w:val="525866"/>
          <w:sz w:val="22"/>
        </w:rPr>
        <w:t>Positive. STM's automotive beat (16% YoY) is directionally consistent with NXPI's low-double-digit YoY guidance and suggests the automotive demand environment was at or above expectations in Q2.</w:t>
      </w:r>
    </w:p>
    <w:p>
      <w:pPr>
        <w:pStyle w:val="ListBullet"/>
        <w:ind w:left="360" w:hanging="360"/>
      </w:pPr>
      <w:r>
        <w:rPr>
          <w:rFonts w:ascii="Calibri" w:hAnsi="Calibri"/>
          <w:b/>
          <w:color w:val="525866"/>
          <w:sz w:val="22"/>
        </w:rPr>
        <w:t xml:space="preserve">Silicon Carbide (SiC) showed positive dynamics: Q2 revenue up low-teens YoY and mid-30s QoQ, </w:t>
      </w:r>
      <w:r>
        <w:rPr>
          <w:rFonts w:ascii="Calibri" w:hAnsi="Calibri"/>
          <w:color w:val="525866"/>
          <w:sz w:val="22"/>
        </w:rPr>
        <w:t>with book-to-bill well above 1 and a growing backlog. STM expects double-digit SiC revenue growth in 2026 vs. 2025. Chinese EV makers adopting 800V systems are a key driver.</w:t>
      </w:r>
    </w:p>
    <w:p>
      <w:pPr>
        <w:pStyle w:val="ListBullet"/>
        <w:ind w:left="360" w:hanging="360"/>
      </w:pPr>
      <w:r>
        <w:rPr>
          <w:rFonts w:ascii="Calibri" w:hAnsi="Calibri"/>
          <w:b/>
          <w:color w:val="525866"/>
          <w:sz w:val="22"/>
        </w:rPr>
        <w:t xml:space="preserve">Read-through for NXPI: </w:t>
      </w:r>
      <w:r>
        <w:rPr>
          <w:rFonts w:ascii="Calibri" w:hAnsi="Calibri"/>
          <w:color w:val="525866"/>
          <w:sz w:val="22"/>
        </w:rPr>
        <w:t>Positive for NXPI's EV/electrification business. NXPI's battery management systems and gate drivers are recovering from a 2025 program disruption and are expected to grow at a strong double-digit CAGR — STM's SiC recovery confirms the EV content growth thesis is intact.</w:t>
      </w:r>
    </w:p>
    <w:p>
      <w:pPr>
        <w:pStyle w:val="ListBullet"/>
        <w:ind w:left="360" w:hanging="360"/>
      </w:pPr>
      <w:r>
        <w:rPr>
          <w:rFonts w:ascii="Calibri" w:hAnsi="Calibri"/>
          <w:b/>
          <w:color w:val="525866"/>
          <w:sz w:val="22"/>
        </w:rPr>
        <w:t xml:space="preserve">Industrial segment surged 20% QoQ and 34% YoY in Q2, driven by microcontrollers, analog, and power conversion. </w:t>
      </w:r>
      <w:r>
        <w:rPr>
          <w:rFonts w:ascii="Calibri" w:hAnsi="Calibri"/>
          <w:color w:val="525866"/>
          <w:sz w:val="22"/>
        </w:rPr>
        <w:t>STM expects industrial to grow close to 40% YoY in both Q3 and Q4. Distribution inventory is now "below our standard target" — a tighter-than-normal channel.</w:t>
      </w:r>
    </w:p>
    <w:p>
      <w:pPr>
        <w:pStyle w:val="ListBullet"/>
        <w:ind w:left="360" w:hanging="360"/>
      </w:pPr>
      <w:r>
        <w:rPr>
          <w:rFonts w:ascii="Calibri" w:hAnsi="Calibri"/>
          <w:b/>
          <w:color w:val="525866"/>
          <w:sz w:val="22"/>
        </w:rPr>
        <w:t xml:space="preserve">Read-through for NXPI: </w:t>
      </w:r>
      <w:r>
        <w:rPr>
          <w:rFonts w:ascii="Calibri" w:hAnsi="Calibri"/>
          <w:color w:val="525866"/>
          <w:sz w:val="22"/>
        </w:rPr>
        <w:t>Strongly positive. STM's 34% YoY industrial growth in Q2 is directly consistent with NXPI's high-30% YoY Industrial &amp; IoT guidance. The below-target distribution inventory at STM suggests channel demand is real and could support upside to NXPI's industrial segment.</w:t>
      </w:r>
    </w:p>
    <w:p>
      <w:pPr>
        <w:pStyle w:val="ListBullet"/>
        <w:ind w:left="360" w:hanging="360"/>
      </w:pPr>
      <w:r>
        <w:rPr>
          <w:rFonts w:ascii="Calibri" w:hAnsi="Calibri"/>
          <w:b/>
          <w:color w:val="525866"/>
          <w:sz w:val="22"/>
        </w:rPr>
        <w:t xml:space="preserve">Book-to-bill close to 2 across all end markets in Q2, with &gt;50% of Q2 bookings for next year. </w:t>
      </w:r>
      <w:r>
        <w:rPr>
          <w:rFonts w:ascii="Calibri" w:hAnsi="Calibri"/>
          <w:color w:val="525866"/>
          <w:sz w:val="22"/>
        </w:rPr>
        <w:t>Total backlog represents 4.5–5 quarters of Q2 average revenue — a return to standard visibility levels.</w:t>
      </w:r>
    </w:p>
    <w:p>
      <w:pPr>
        <w:pStyle w:val="ListBullet"/>
        <w:ind w:left="360" w:hanging="360"/>
      </w:pPr>
      <w:r>
        <w:rPr>
          <w:rFonts w:ascii="Calibri" w:hAnsi="Calibri"/>
          <w:b/>
          <w:color w:val="525866"/>
          <w:sz w:val="22"/>
        </w:rPr>
        <w:t xml:space="preserve">Read-through for NXPI: </w:t>
      </w:r>
      <w:r>
        <w:rPr>
          <w:rFonts w:ascii="Calibri" w:hAnsi="Calibri"/>
          <w:color w:val="525866"/>
          <w:sz w:val="22"/>
        </w:rPr>
        <w:t>Positive for NXPI's H2 2026 and 2027 visibility. Strong bookings and extended backlog at STM support NXPI management's characterization of the direct order book and distribution backlog as "continuing to strengthen."</w:t>
      </w:r>
    </w:p>
    <w:p>
      <w:pPr>
        <w:pStyle w:val="ListBullet"/>
        <w:ind w:left="360" w:hanging="360"/>
      </w:pPr>
      <w:r>
        <w:rPr>
          <w:rFonts w:ascii="Calibri" w:hAnsi="Calibri"/>
          <w:b/>
          <w:color w:val="525866"/>
          <w:sz w:val="22"/>
        </w:rPr>
        <w:t xml:space="preserve">Data center: STM raised its 2026 data center revenue target to &gt;$1B (from prior guidance) and &gt;$2B in 2027. </w:t>
      </w:r>
      <w:r>
        <w:rPr>
          <w:rFonts w:ascii="Calibri" w:hAnsi="Calibri"/>
          <w:color w:val="525866"/>
          <w:sz w:val="22"/>
        </w:rPr>
        <w:t>Growth is driven by optical connectivity (800G and 1.6Tbps pluggable optics) and engaged customer programs. STM confirmed data center is accretive to gross margins.</w:t>
      </w:r>
    </w:p>
    <w:p>
      <w:pPr>
        <w:pStyle w:val="ListBullet"/>
        <w:ind w:left="360" w:hanging="360"/>
      </w:pPr>
      <w:r>
        <w:rPr>
          <w:rFonts w:ascii="Calibri" w:hAnsi="Calibri"/>
          <w:b/>
          <w:color w:val="525866"/>
          <w:sz w:val="22"/>
        </w:rPr>
        <w:t xml:space="preserve">Read-through for NXPI: </w:t>
      </w:r>
      <w:r>
        <w:rPr>
          <w:rFonts w:ascii="Calibri" w:hAnsi="Calibri"/>
          <w:color w:val="525866"/>
          <w:sz w:val="22"/>
        </w:rPr>
        <w:t>Positive. STM's data center revenue acceleration validates the broader data center infrastructure build-out that is driving NXPI's control-plane business (board management, cooling, networking). NXPI's $500M+ data center target for 2026 appears achievable given the demand environment STM is describing.</w:t>
      </w:r>
    </w:p>
    <w:p>
      <w:pPr>
        <w:pStyle w:val="ListBullet"/>
        <w:ind w:left="360" w:hanging="360"/>
      </w:pPr>
      <w:r>
        <w:rPr>
          <w:rFonts w:ascii="Calibri" w:hAnsi="Calibri"/>
          <w:b/>
          <w:color w:val="525866"/>
          <w:sz w:val="22"/>
        </w:rPr>
        <w:t>Pricing: Input costs are rising and STM is increasing prices on selected products, with the two impacts "more or less offsetting each other" currently.</w:t>
      </w:r>
    </w:p>
    <w:p>
      <w:pPr>
        <w:pStyle w:val="ListBullet"/>
        <w:ind w:left="360" w:hanging="360"/>
      </w:pPr>
      <w:r>
        <w:rPr>
          <w:rFonts w:ascii="Calibri" w:hAnsi="Calibri"/>
          <w:b/>
          <w:color w:val="525866"/>
          <w:sz w:val="22"/>
        </w:rPr>
        <w:t xml:space="preserve">Read-through for NXPI: </w:t>
      </w:r>
      <w:r>
        <w:rPr>
          <w:rFonts w:ascii="Calibri" w:hAnsi="Calibri"/>
          <w:color w:val="525866"/>
          <w:sz w:val="22"/>
        </w:rPr>
        <w:t>Consistent with NXPI's selective pricing increase posture. The cost/price offset dynamic at STM suggests NXPI's gross margin guidance of 58% is achievable without significant margin compression from input cost inflation.</w:t>
      </w:r>
    </w:p>
    <w:p>
      <w:pPr>
        <w:pStyle w:val="ListBullet"/>
        <w:ind w:left="360" w:hanging="360"/>
      </w:pPr>
      <w:r>
        <w:rPr>
          <w:rFonts w:ascii="Calibri" w:hAnsi="Calibri"/>
          <w:b/>
          <w:color w:val="525866"/>
          <w:sz w:val="22"/>
        </w:rPr>
        <w:t xml:space="preserve">Q3 2026 guidance: Revenue $3.7B ± 350bps, gross margin ~37% ± 200bps. </w:t>
      </w:r>
      <w:r>
        <w:rPr>
          <w:rFonts w:ascii="Calibri" w:hAnsi="Calibri"/>
          <w:color w:val="525866"/>
          <w:sz w:val="22"/>
        </w:rPr>
        <w:t>Q4 expected above $4B with revenue growth acceleration driven by AI data centers and low-earth-orbit satellite communication.</w:t>
      </w:r>
    </w:p>
    <w:p>
      <w:pPr>
        <w:pStyle w:val="ListBullet"/>
        <w:ind w:left="360" w:hanging="360"/>
      </w:pPr>
      <w:r>
        <w:rPr>
          <w:rFonts w:ascii="Calibri" w:hAnsi="Calibri"/>
          <w:b/>
          <w:color w:val="525866"/>
          <w:sz w:val="22"/>
        </w:rPr>
        <w:t xml:space="preserve">Read-through for NXPI: </w:t>
      </w:r>
      <w:r>
        <w:rPr>
          <w:rFonts w:ascii="Calibri" w:hAnsi="Calibri"/>
          <w:color w:val="525866"/>
          <w:sz w:val="22"/>
        </w:rPr>
        <w:t>Positive for NXPI's H2 setup. STM's accelerating Q4 trajectory supports NXPI management's view that the remainder of 2026 will be stronger than anticipated.</w:t>
      </w:r>
    </w:p>
    <w:p>
      <w:pPr>
        <w:pStyle w:val="Heading3"/>
      </w:pPr>
      <w:r>
        <w:rPr>
          <w:rFonts w:ascii="Calibri" w:hAnsi="Calibri"/>
          <w:b/>
          <w:color w:val="3B4259"/>
          <w:sz w:val="24"/>
        </w:rPr>
        <w:t>Qualcomm (QCOM) — Investor Day (June 24, 2026)</w:t>
      </w:r>
    </w:p>
    <w:p>
      <w:r>
        <w:rPr>
          <w:rFonts w:ascii="Calibri" w:hAnsi="Calibri"/>
          <w:b/>
          <w:color w:val="525866"/>
          <w:sz w:val="22"/>
        </w:rPr>
        <w:t xml:space="preserve">Relevance to NXPI: </w:t>
      </w:r>
      <w:r>
        <w:rPr>
          <w:rFonts w:ascii="Calibri" w:hAnsi="Calibri"/>
          <w:color w:val="525866"/>
          <w:sz w:val="22"/>
        </w:rPr>
        <w:t>QCOM is a peer in automotive compute and industrial IoT. The Investor Day provided forward-looking commentary on automotive and industrial demand trends relevant to NXPI's Q2 setup.</w:t>
      </w:r>
    </w:p>
    <w:p>
      <w:pPr>
        <w:pStyle w:val="ListBullet"/>
        <w:ind w:left="360" w:hanging="360"/>
      </w:pPr>
      <w:r>
        <w:rPr>
          <w:rFonts w:ascii="Calibri" w:hAnsi="Calibri"/>
          <w:b/>
          <w:color w:val="525866"/>
          <w:sz w:val="22"/>
        </w:rPr>
        <w:t xml:space="preserve">Automotive: QCOM expects to exit FY 2026 at $6B in annualized automotive revenue, after 23 consecutive quarters of double-digit YoY growth. </w:t>
      </w:r>
      <w:r>
        <w:rPr>
          <w:rFonts w:ascii="Calibri" w:hAnsi="Calibri"/>
          <w:color w:val="525866"/>
          <w:sz w:val="22"/>
        </w:rPr>
        <w:t>QCOM has a $65B design win pipeline and content value per vehicle has increased 8x from Gen 3 to Gen 5 products. The software-defined vehicle is evolving into an "AI-defined vehicle."</w:t>
      </w:r>
    </w:p>
    <w:p>
      <w:pPr>
        <w:pStyle w:val="ListBullet"/>
        <w:ind w:left="360" w:hanging="360"/>
      </w:pPr>
      <w:r>
        <w:rPr>
          <w:rFonts w:ascii="Calibri" w:hAnsi="Calibri"/>
          <w:b/>
          <w:color w:val="525866"/>
          <w:sz w:val="22"/>
        </w:rPr>
        <w:t xml:space="preserve">Read-through for NXPI: </w:t>
      </w:r>
      <w:r>
        <w:rPr>
          <w:rFonts w:ascii="Calibri" w:hAnsi="Calibri"/>
          <w:color w:val="525866"/>
          <w:sz w:val="22"/>
        </w:rPr>
        <w:t>Positive for the structural automotive content growth thesis. QCOM's sustained double-digit automotive growth and expanding design win pipeline validates NXPI's SDV/S32 content growth story, though QCOM competes more in cockpit/ADAS compute while NXPI is stronger in zonal processing and connectivity.</w:t>
      </w:r>
    </w:p>
    <w:p>
      <w:pPr>
        <w:pStyle w:val="ListBullet"/>
        <w:ind w:left="360" w:hanging="360"/>
      </w:pPr>
      <w:r>
        <w:rPr>
          <w:rFonts w:ascii="Calibri" w:hAnsi="Calibri"/>
          <w:b/>
          <w:color w:val="525866"/>
          <w:sz w:val="22"/>
        </w:rPr>
        <w:t xml:space="preserve">Industrial IoT: QCOM's indirect industrial/embedded IoT revenue is up 77% from 2024 to 2026. </w:t>
      </w:r>
      <w:r>
        <w:rPr>
          <w:rFonts w:ascii="Calibri" w:hAnsi="Calibri"/>
          <w:color w:val="525866"/>
          <w:sz w:val="22"/>
        </w:rPr>
        <w:t>Physical AI is expected to drive "massive transformative change" in industrial, enterprise, and robotics. The IoT endpoint market is projected to reach 50B by 2035, with the $300B addressable market expanding to &gt;$1T within a decade.</w:t>
      </w:r>
    </w:p>
    <w:p>
      <w:pPr>
        <w:pStyle w:val="ListBullet"/>
        <w:ind w:left="360" w:hanging="360"/>
      </w:pPr>
      <w:r>
        <w:rPr>
          <w:rFonts w:ascii="Calibri" w:hAnsi="Calibri"/>
          <w:b/>
          <w:color w:val="525866"/>
          <w:sz w:val="22"/>
        </w:rPr>
        <w:t xml:space="preserve">Read-through for NXPI: </w:t>
      </w:r>
      <w:r>
        <w:rPr>
          <w:rFonts w:ascii="Calibri" w:hAnsi="Calibri"/>
          <w:color w:val="525866"/>
          <w:sz w:val="22"/>
        </w:rPr>
        <w:t>Positive for NXPI's Industrial &amp; IoT secular growth thesis. QCOM's 77% industrial revenue growth validates the physical AI at the edge opportunity that NXPI is targeting with its i.MX, RT, MCX, and Kinara-based products.</w:t>
      </w:r>
    </w:p>
    <w:p>
      <w:pPr>
        <w:pStyle w:val="ListBullet"/>
        <w:ind w:left="360" w:hanging="360"/>
      </w:pPr>
      <w:r>
        <w:rPr>
          <w:rFonts w:ascii="Calibri" w:hAnsi="Calibri"/>
          <w:b/>
          <w:color w:val="525866"/>
          <w:sz w:val="22"/>
        </w:rPr>
        <w:t xml:space="preserve">China: QCOM's CEO identified China as the "epicentre of the start of new use cases" for AI agents. </w:t>
      </w:r>
      <w:r>
        <w:rPr>
          <w:rFonts w:ascii="Calibri" w:hAnsi="Calibri"/>
          <w:color w:val="525866"/>
          <w:sz w:val="22"/>
        </w:rPr>
        <w:t>Chinese AI foundational model companies are now QCOM customers, expanding the addressable market.</w:t>
      </w:r>
    </w:p>
    <w:p>
      <w:pPr>
        <w:pStyle w:val="ListBullet"/>
        <w:ind w:left="360" w:hanging="360"/>
      </w:pPr>
      <w:r>
        <w:rPr>
          <w:rFonts w:ascii="Calibri" w:hAnsi="Calibri"/>
          <w:b/>
          <w:color w:val="525866"/>
          <w:sz w:val="22"/>
        </w:rPr>
        <w:t xml:space="preserve">Read-through for NXPI: </w:t>
      </w:r>
      <w:r>
        <w:rPr>
          <w:rFonts w:ascii="Calibri" w:hAnsi="Calibri"/>
          <w:color w:val="525866"/>
          <w:sz w:val="22"/>
        </w:rPr>
        <w:t>Positive for NXPI's China automotive exposure. NXPI noted China grew YoY in Q1 and is adopting next-generation architectures (S32K5) faster than Western customers — QCOM's China commentary supports the view that Chinese demand is accelerating rather than decelerating.</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broad-based confirmation from peers (TXN, STM) that automotive and industrial demand accelerated in Q2 — this is the most direct positive read-through for NXPI's Q2 print. Analyst price target upgrades post-Q1 reflect growing conviction in the recovery, while the July 28 earnings date confirmation is the only company-specific announcement since April.</w:t>
      </w:r>
    </w:p>
    <w:p>
      <w:pPr>
        <w:pStyle w:val="ListBullet"/>
        <w:ind w:left="360" w:hanging="360"/>
      </w:pPr>
      <w:r>
        <w:rPr>
          <w:rFonts w:ascii="Calibri" w:hAnsi="Calibri"/>
          <w:b/>
          <w:color w:val="525866"/>
          <w:sz w:val="22"/>
        </w:rPr>
        <w:t xml:space="preserve">July 23, 2026 — STM Q2 2026 Earnings Beat: </w:t>
      </w:r>
      <w:r>
        <w:rPr>
          <w:rFonts w:ascii="Calibri" w:hAnsi="Calibri"/>
          <w:color w:val="525866"/>
          <w:sz w:val="22"/>
        </w:rPr>
        <w:t xml:space="preserve">STMicroelectronics reported Q2 revenue above expectations with automotive +16% YoY and industrial +34% YoY. STM raised its 2026 data center revenue target to &gt;$1B and guided Q3 revenue at $3.7B. </w:t>
      </w:r>
    </w:p>
    <w:p>
      <w:pPr>
        <w:pStyle w:val="ListBullet"/>
        <w:ind w:left="360" w:hanging="360"/>
      </w:pPr>
      <w:r>
        <w:rPr>
          <w:rFonts w:ascii="Calibri" w:hAnsi="Calibri"/>
          <w:b/>
          <w:color w:val="525866"/>
          <w:sz w:val="22"/>
        </w:rPr>
        <w:t xml:space="preserve">Implication: </w:t>
      </w:r>
      <w:r>
        <w:rPr>
          <w:rFonts w:ascii="Calibri" w:hAnsi="Calibri"/>
          <w:color w:val="525866"/>
          <w:sz w:val="22"/>
        </w:rPr>
        <w:t>Most direct and timely positive read-through for NXPI's Q2 automotive and industrial segments. STM's below-target distribution inventory and book-to-bill close to 2 suggest demand is real and sustainable.</w:t>
      </w:r>
    </w:p>
    <w:p>
      <w:pPr>
        <w:pStyle w:val="ListBullet"/>
        <w:ind w:left="360" w:hanging="360"/>
      </w:pPr>
      <w:r>
        <w:rPr>
          <w:rFonts w:ascii="Calibri" w:hAnsi="Calibri"/>
          <w:b/>
          <w:color w:val="525866"/>
          <w:sz w:val="22"/>
        </w:rPr>
        <w:t xml:space="preserve">July 22, 2026 — TXN Q2 2026 Earnings Beat: </w:t>
      </w:r>
      <w:r>
        <w:rPr>
          <w:rFonts w:ascii="Calibri" w:hAnsi="Calibri"/>
          <w:color w:val="525866"/>
          <w:sz w:val="22"/>
        </w:rPr>
        <w:t xml:space="preserve">Texas Instruments reported Q2 revenue above the guided range, with automotive up mid-teens YoY and industrial up ~30% YoY. TXN guided Q3 revenue $5.65–$6.15B and confirmed it has started executing price increases. </w:t>
      </w:r>
    </w:p>
    <w:p>
      <w:pPr>
        <w:pStyle w:val="ListBullet"/>
        <w:ind w:left="360" w:hanging="360"/>
      </w:pPr>
      <w:r>
        <w:rPr>
          <w:rFonts w:ascii="Calibri" w:hAnsi="Calibri"/>
          <w:b/>
          <w:color w:val="525866"/>
          <w:sz w:val="22"/>
        </w:rPr>
        <w:t xml:space="preserve">Implication: </w:t>
      </w:r>
      <w:r>
        <w:rPr>
          <w:rFonts w:ascii="Calibri" w:hAnsi="Calibri"/>
          <w:color w:val="525866"/>
          <w:sz w:val="22"/>
        </w:rPr>
        <w:t>Strongest positive read-through for NXPI's Q2 print. TXN's automotive demand acceleration "led by China" and broad industrial recovery are directly consistent with NXPI's Q2 guidance assumptions.</w:t>
      </w:r>
    </w:p>
    <w:p>
      <w:pPr>
        <w:pStyle w:val="ListBullet"/>
        <w:ind w:left="360" w:hanging="360"/>
      </w:pPr>
      <w:r>
        <w:rPr>
          <w:rFonts w:ascii="Calibri" w:hAnsi="Calibri"/>
          <w:b/>
          <w:color w:val="525866"/>
          <w:sz w:val="22"/>
        </w:rPr>
        <w:t xml:space="preserve">July 24, 2026 — Oppenheimer Raises PT to $325 (from $300), Maintains Outperform: </w:t>
      </w:r>
      <w:r>
        <w:rPr>
          <w:rFonts w:ascii="Calibri" w:hAnsi="Calibri"/>
          <w:color w:val="525866"/>
          <w:sz w:val="22"/>
        </w:rPr>
        <w:t>Oppenheimer cited a "broad-based cyclical uptrend" ahead of Q2 results and projects 58% gross margin in line with guidance. Options data suggests ~9.3% implied move on earnings.</w:t>
      </w:r>
    </w:p>
    <w:p>
      <w:pPr>
        <w:pStyle w:val="ListBullet"/>
        <w:ind w:left="360" w:hanging="360"/>
      </w:pPr>
      <w:r>
        <w:rPr>
          <w:rFonts w:ascii="Calibri" w:hAnsi="Calibri"/>
          <w:b/>
          <w:color w:val="525866"/>
          <w:sz w:val="22"/>
        </w:rPr>
        <w:t xml:space="preserve">Implication: </w:t>
      </w:r>
      <w:r>
        <w:rPr>
          <w:rFonts w:ascii="Calibri" w:hAnsi="Calibri"/>
          <w:color w:val="525866"/>
          <w:sz w:val="22"/>
        </w:rPr>
        <w:t>Analyst community is incrementally more constructive heading into Q2; the $325 PT implies ~21% upside from current levels. The 9.3% implied move is meaningful and suggests the market is pricing in a binary outcome.</w:t>
      </w:r>
    </w:p>
    <w:p>
      <w:pPr>
        <w:pStyle w:val="ListBullet"/>
        <w:ind w:left="360" w:hanging="360"/>
      </w:pPr>
      <w:r>
        <w:rPr>
          <w:rFonts w:ascii="Calibri" w:hAnsi="Calibri"/>
          <w:b/>
          <w:color w:val="525866"/>
          <w:sz w:val="22"/>
        </w:rPr>
        <w:t xml:space="preserve">July 7, 2026 — NXPI Announces Q2 2026 Earnings Conference Call: </w:t>
      </w:r>
      <w:r>
        <w:rPr>
          <w:rFonts w:ascii="Calibri" w:hAnsi="Calibri"/>
          <w:color w:val="525866"/>
          <w:sz w:val="22"/>
        </w:rPr>
        <w:t>NXP confirmed Q2 2026 results will be released after market close on July 28, 2026, with a conference call at 4:30 PM ET. No pre-announcement or guidance revision was included.</w:t>
      </w:r>
    </w:p>
    <w:p>
      <w:pPr>
        <w:pStyle w:val="ListBullet"/>
        <w:ind w:left="360" w:hanging="360"/>
      </w:pPr>
      <w:r>
        <w:rPr>
          <w:rFonts w:ascii="Calibri" w:hAnsi="Calibri"/>
          <w:b/>
          <w:color w:val="525866"/>
          <w:sz w:val="22"/>
        </w:rPr>
        <w:t xml:space="preserve">Implication: </w:t>
      </w:r>
      <w:r>
        <w:rPr>
          <w:rFonts w:ascii="Calibri" w:hAnsi="Calibri"/>
          <w:color w:val="525866"/>
          <w:sz w:val="22"/>
        </w:rPr>
        <w:t>The absence of a pre-announcement (positive or negative) is itself a signal — management did not feel compelled to update guidance, consistent with results tracking in line with or above the guided range.</w:t>
      </w:r>
    </w:p>
    <w:p>
      <w:pPr>
        <w:pStyle w:val="ListBullet"/>
        <w:ind w:left="360" w:hanging="360"/>
      </w:pPr>
      <w:r>
        <w:rPr>
          <w:rFonts w:ascii="Calibri" w:hAnsi="Calibri"/>
          <w:b/>
          <w:color w:val="525866"/>
          <w:sz w:val="22"/>
        </w:rPr>
        <w:t xml:space="preserve">June 24, 2026 — QCOM Investor Day: </w:t>
      </w:r>
      <w:r>
        <w:rPr>
          <w:rFonts w:ascii="Calibri" w:hAnsi="Calibri"/>
          <w:color w:val="525866"/>
          <w:sz w:val="22"/>
        </w:rPr>
        <w:t>Qualcomm raised its FY 2029 revenue target to $40B (from $22B), targeting $5B in data center revenue in FY 2027 and $15B by FY 2029. QCOM's automotive revenue is expected to exit FY 2026 at $6B annualized, after 23 consecutive quarters of double-digit YoY growth. Industrial IoT revenue is up 77% from 2024 to 2026.</w:t>
      </w:r>
    </w:p>
    <w:p>
      <w:pPr>
        <w:pStyle w:val="ListBullet"/>
        <w:ind w:left="360" w:hanging="360"/>
      </w:pPr>
      <w:r>
        <w:rPr>
          <w:rFonts w:ascii="Calibri" w:hAnsi="Calibri"/>
          <w:b/>
          <w:color w:val="525866"/>
          <w:sz w:val="22"/>
        </w:rPr>
        <w:t xml:space="preserve">Implication: </w:t>
      </w:r>
      <w:r>
        <w:rPr>
          <w:rFonts w:ascii="Calibri" w:hAnsi="Calibri"/>
          <w:color w:val="525866"/>
          <w:sz w:val="22"/>
        </w:rPr>
        <w:t>Validates the structural automotive content growth and physical AI at the edge thesis that underpins NXPI's long-term growth story. QCOM's data center ambitions also confirm the control-plane opportunity NXPI is targeting is real and growing.</w:t>
      </w:r>
    </w:p>
    <w:p>
      <w:pPr>
        <w:pStyle w:val="ListBullet"/>
        <w:ind w:left="360" w:hanging="360"/>
      </w:pPr>
      <w:r>
        <w:rPr>
          <w:rFonts w:ascii="Calibri" w:hAnsi="Calibri"/>
          <w:b/>
          <w:color w:val="525866"/>
          <w:sz w:val="22"/>
        </w:rPr>
        <w:t xml:space="preserve">April 30, 2026 — TTTech Auto Rebranded as TrustMotion: </w:t>
      </w:r>
      <w:r>
        <w:rPr>
          <w:rFonts w:ascii="Calibri" w:hAnsi="Calibri"/>
          <w:color w:val="525866"/>
          <w:sz w:val="22"/>
        </w:rPr>
        <w:t>NXP's acquired automotive software subsidiary was rebranded as TrustMotion, providing the MotionWise middleware layer below the OEM application layer. Engineering team redeployed to S32 core reference design work with high single-digit customer POCs underway.</w:t>
      </w:r>
    </w:p>
    <w:p>
      <w:pPr>
        <w:pStyle w:val="ListBullet"/>
        <w:ind w:left="360" w:hanging="360"/>
      </w:pPr>
      <w:r>
        <w:rPr>
          <w:rFonts w:ascii="Calibri" w:hAnsi="Calibri"/>
          <w:b/>
          <w:color w:val="525866"/>
          <w:sz w:val="22"/>
        </w:rPr>
        <w:t xml:space="preserve">Implication: </w:t>
      </w:r>
      <w:r>
        <w:rPr>
          <w:rFonts w:ascii="Calibri" w:hAnsi="Calibri"/>
          <w:color w:val="525866"/>
          <w:sz w:val="22"/>
        </w:rPr>
        <w:t>Accelerates S32/K5 adoption into 2027; the rebranding and POC activity suggest the acquisition integration is progressing faster than originally expected, which is a positive for the SDV revenue ramp.</w:t>
      </w:r>
    </w:p>
    <w:p>
      <w:pPr>
        <w:pStyle w:val="ListBullet"/>
        <w:ind w:left="360" w:hanging="360"/>
      </w:pPr>
      <w:r>
        <w:rPr>
          <w:rFonts w:ascii="Calibri" w:hAnsi="Calibri"/>
          <w:b/>
          <w:color w:val="525866"/>
          <w:sz w:val="22"/>
        </w:rPr>
        <w:t xml:space="preserve">April 29, 2026 — Multiple Analyst Price Target Upgrades Post-Q1 Earnings: </w:t>
      </w:r>
      <w:r>
        <w:rPr>
          <w:rFonts w:ascii="Calibri" w:hAnsi="Calibri"/>
          <w:color w:val="525866"/>
          <w:sz w:val="22"/>
        </w:rPr>
        <w:t>Oppenheimer raised PT to $300 (Outperform), Wolfe Research raised PT to $320 (Outperform), Raymond James raised PT to $300 (Outperform). Barclays reiterated Overweight with $340 PT; Cantor Fitzgerald reiterated Overweight with $400 PT.</w:t>
      </w:r>
    </w:p>
    <w:p>
      <w:pPr>
        <w:pStyle w:val="ListBullet"/>
        <w:ind w:left="360" w:hanging="360"/>
      </w:pPr>
      <w:r>
        <w:rPr>
          <w:rFonts w:ascii="Calibri" w:hAnsi="Calibri"/>
          <w:b/>
          <w:color w:val="525866"/>
          <w:sz w:val="22"/>
        </w:rPr>
        <w:t xml:space="preserve">Implication: </w:t>
      </w:r>
      <w:r>
        <w:rPr>
          <w:rFonts w:ascii="Calibri" w:hAnsi="Calibri"/>
          <w:color w:val="525866"/>
          <w:sz w:val="22"/>
        </w:rPr>
        <w:t>Broad-based analyst upgrade cycle post-Q1 reflects growing conviction in the recovery. The consensus PT of ~$306–$314 implies 14–17% upside from current levels, suggesting the stock is not fully pricing in the bull case.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discretionary buys have been filed since Q1 earnings — all insider activity consists of routine RSU vesting/tax withholding events and two 10b5-1 planned sales (Micallef and Jensen), which are pre-scheduled and carry no negative signal. The absence of discretionary selling is mildly positive; the absence of open-market buying is neutral given the stock's post-earnings run.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Micallef Andrew</w:t>
            </w:r>
          </w:p>
        </w:tc>
        <w:tc>
          <w:tcPr>
            <w:tcW w:type="dxa" w:w="1440"/>
          </w:tcPr>
          <w:p>
            <w:r>
              <w:rPr>
                <w:rFonts w:ascii="Calibri" w:hAnsi="Calibri"/>
                <w:sz w:val="22"/>
              </w:rPr>
              <w:t>EVP, Chief Operations Officer</w:t>
            </w:r>
          </w:p>
        </w:tc>
        <w:tc>
          <w:tcPr>
            <w:tcW w:type="dxa" w:w="1440"/>
          </w:tcPr>
          <w:p>
            <w:r>
              <w:rPr>
                <w:rFonts w:ascii="Calibri" w:hAnsi="Calibri"/>
                <w:sz w:val="22"/>
              </w:rPr>
              <w:t>10b5-1 Planned Sale</w:t>
            </w:r>
          </w:p>
        </w:tc>
        <w:tc>
          <w:tcPr>
            <w:tcW w:type="dxa" w:w="1440"/>
          </w:tcPr>
          <w:p>
            <w:r>
              <w:rPr>
                <w:rFonts w:ascii="Calibri" w:hAnsi="Calibri"/>
                <w:sz w:val="22"/>
              </w:rPr>
              <w:t>1,000 shares</w:t>
            </w:r>
          </w:p>
        </w:tc>
        <w:tc>
          <w:tcPr>
            <w:tcW w:type="dxa" w:w="1440"/>
          </w:tcPr>
          <w:p>
            <w:r>
              <w:rPr>
                <w:rFonts w:ascii="Calibri" w:hAnsi="Calibri"/>
                <w:sz w:val="22"/>
              </w:rPr>
              <w:t>Jun 15, 2026</w:t>
            </w:r>
          </w:p>
        </w:tc>
        <w:tc>
          <w:tcPr>
            <w:tcW w:type="dxa" w:w="1440"/>
          </w:tcPr>
          <w:p>
            <w:r>
              <w:rPr>
                <w:rFonts w:ascii="Calibri" w:hAnsi="Calibri"/>
                <w:sz w:val="22"/>
              </w:rPr>
              <w:t>Pre-scheduled 10b5-1 plan; not discretionary. Retains 8,942 shares post-sale.</w:t>
            </w:r>
          </w:p>
        </w:tc>
      </w:tr>
      <w:tr>
        <w:tc>
          <w:tcPr>
            <w:tcW w:type="dxa" w:w="1440"/>
          </w:tcPr>
          <w:p>
            <w:r>
              <w:rPr>
                <w:rFonts w:ascii="Calibri" w:hAnsi="Calibri"/>
                <w:sz w:val="22"/>
              </w:rPr>
              <w:t>Jensen Christopher L</w:t>
            </w:r>
          </w:p>
        </w:tc>
        <w:tc>
          <w:tcPr>
            <w:tcW w:type="dxa" w:w="1440"/>
          </w:tcPr>
          <w:p>
            <w:r>
              <w:rPr>
                <w:rFonts w:ascii="Calibri" w:hAnsi="Calibri"/>
                <w:sz w:val="22"/>
              </w:rPr>
              <w:t>EVP, Chief People Officer</w:t>
            </w:r>
          </w:p>
        </w:tc>
        <w:tc>
          <w:tcPr>
            <w:tcW w:type="dxa" w:w="1440"/>
          </w:tcPr>
          <w:p>
            <w:r>
              <w:rPr>
                <w:rFonts w:ascii="Calibri" w:hAnsi="Calibri"/>
                <w:sz w:val="22"/>
              </w:rPr>
              <w:t>10b5-1 Planned Sale</w:t>
            </w:r>
          </w:p>
        </w:tc>
        <w:tc>
          <w:tcPr>
            <w:tcW w:type="dxa" w:w="1440"/>
          </w:tcPr>
          <w:p>
            <w:r>
              <w:rPr>
                <w:rFonts w:ascii="Calibri" w:hAnsi="Calibri"/>
                <w:sz w:val="22"/>
              </w:rPr>
              <w:t>1,746 shares</w:t>
            </w:r>
          </w:p>
        </w:tc>
        <w:tc>
          <w:tcPr>
            <w:tcW w:type="dxa" w:w="1440"/>
          </w:tcPr>
          <w:p>
            <w:r>
              <w:rPr>
                <w:rFonts w:ascii="Calibri" w:hAnsi="Calibri"/>
                <w:sz w:val="22"/>
              </w:rPr>
              <w:t>Jun 1, 2026</w:t>
            </w:r>
          </w:p>
        </w:tc>
        <w:tc>
          <w:tcPr>
            <w:tcW w:type="dxa" w:w="1440"/>
          </w:tcPr>
          <w:p>
            <w:r>
              <w:rPr>
                <w:rFonts w:ascii="Calibri" w:hAnsi="Calibri"/>
                <w:sz w:val="22"/>
              </w:rPr>
              <w:t>Pre-scheduled 10b5-1 plan; not discretionary. Retains 3,643 shares post-sale.</w:t>
            </w:r>
          </w:p>
        </w:tc>
      </w:tr>
      <w:tr>
        <w:tc>
          <w:tcPr>
            <w:tcW w:type="dxa" w:w="1440"/>
          </w:tcPr>
          <w:p>
            <w:r>
              <w:rPr>
                <w:rFonts w:ascii="Calibri" w:hAnsi="Calibri"/>
                <w:sz w:val="22"/>
              </w:rPr>
              <w:t>Multiple Directors (8 individuals)</w:t>
            </w:r>
          </w:p>
        </w:tc>
        <w:tc>
          <w:tcPr>
            <w:tcW w:type="dxa" w:w="1440"/>
          </w:tcPr>
          <w:p>
            <w:r>
              <w:rPr>
                <w:rFonts w:ascii="Calibri" w:hAnsi="Calibri"/>
                <w:sz w:val="22"/>
              </w:rPr>
              <w:t>Board of Directors</w:t>
            </w:r>
          </w:p>
        </w:tc>
        <w:tc>
          <w:tcPr>
            <w:tcW w:type="dxa" w:w="1440"/>
          </w:tcPr>
          <w:p>
            <w:r>
              <w:rPr>
                <w:rFonts w:ascii="Calibri" w:hAnsi="Calibri"/>
                <w:sz w:val="22"/>
              </w:rPr>
              <w:t>RSU Vesting / Tax Withholding</w:t>
            </w:r>
          </w:p>
        </w:tc>
        <w:tc>
          <w:tcPr>
            <w:tcW w:type="dxa" w:w="1440"/>
          </w:tcPr>
          <w:p>
            <w:r>
              <w:rPr>
                <w:rFonts w:ascii="Calibri" w:hAnsi="Calibri"/>
                <w:sz w:val="22"/>
              </w:rPr>
              <w:t>~418–513 shares withheld per director</w:t>
            </w:r>
          </w:p>
        </w:tc>
        <w:tc>
          <w:tcPr>
            <w:tcW w:type="dxa" w:w="1440"/>
          </w:tcPr>
          <w:p>
            <w:r>
              <w:rPr>
                <w:rFonts w:ascii="Calibri" w:hAnsi="Calibri"/>
                <w:sz w:val="22"/>
              </w:rPr>
              <w:t>Jun 10, 2026</w:t>
            </w:r>
          </w:p>
        </w:tc>
        <w:tc>
          <w:tcPr>
            <w:tcW w:type="dxa" w:w="1440"/>
          </w:tcPr>
          <w:p>
            <w:r>
              <w:rPr>
                <w:rFonts w:ascii="Calibri" w:hAnsi="Calibri"/>
                <w:sz w:val="22"/>
              </w:rPr>
              <w:t>Routine annual RSU grant and tax withholding event for all board members (Gu, Clayton, Foxx, Gavrielov, Olving, Southern, Staiblin, Summe, Sundstrom). Not discretionary; obligation-driven.</w:t>
            </w:r>
          </w:p>
        </w:tc>
      </w:tr>
      <w:tr>
        <w:tc>
          <w:tcPr>
            <w:tcW w:type="dxa" w:w="1440"/>
          </w:tcPr>
          <w:p>
            <w:r>
              <w:rPr>
                <w:rFonts w:ascii="Calibri" w:hAnsi="Calibri"/>
                <w:sz w:val="22"/>
              </w:rPr>
              <w:t>Hardy Andrew</w:t>
            </w:r>
          </w:p>
        </w:tc>
        <w:tc>
          <w:tcPr>
            <w:tcW w:type="dxa" w:w="1440"/>
          </w:tcPr>
          <w:p>
            <w:r>
              <w:rPr>
                <w:rFonts w:ascii="Calibri" w:hAnsi="Calibri"/>
                <w:sz w:val="22"/>
              </w:rPr>
              <w:t>EVP, Chief Sales Officer</w:t>
            </w:r>
          </w:p>
        </w:tc>
        <w:tc>
          <w:tcPr>
            <w:tcW w:type="dxa" w:w="1440"/>
          </w:tcPr>
          <w:p>
            <w:r>
              <w:rPr>
                <w:rFonts w:ascii="Calibri" w:hAnsi="Calibri"/>
                <w:sz w:val="22"/>
              </w:rPr>
              <w:t>RSU Vesting / Tax Withholding</w:t>
            </w:r>
          </w:p>
        </w:tc>
        <w:tc>
          <w:tcPr>
            <w:tcW w:type="dxa" w:w="1440"/>
          </w:tcPr>
          <w:p>
            <w:r>
              <w:rPr>
                <w:rFonts w:ascii="Calibri" w:hAnsi="Calibri"/>
                <w:sz w:val="22"/>
              </w:rPr>
              <w:t>4,880 vested; 2,483 withheld for taxes</w:t>
            </w:r>
          </w:p>
        </w:tc>
        <w:tc>
          <w:tcPr>
            <w:tcW w:type="dxa" w:w="1440"/>
          </w:tcPr>
          <w:p>
            <w:r>
              <w:rPr>
                <w:rFonts w:ascii="Calibri" w:hAnsi="Calibri"/>
                <w:sz w:val="22"/>
              </w:rPr>
              <w:t>Apr 30, 2026</w:t>
            </w:r>
          </w:p>
        </w:tc>
        <w:tc>
          <w:tcPr>
            <w:tcW w:type="dxa" w:w="1440"/>
          </w:tcPr>
          <w:p>
            <w:r>
              <w:rPr>
                <w:rFonts w:ascii="Calibri" w:hAnsi="Calibri"/>
                <w:sz w:val="22"/>
              </w:rPr>
              <w:t>Routine RSU vest; tax withholding of 2,483 shares. Not discretionary. Retains 4,417 shares.</w:t>
            </w:r>
          </w:p>
        </w:tc>
      </w:tr>
      <w:tr>
        <w:tc>
          <w:tcPr>
            <w:tcW w:type="dxa" w:w="1440"/>
          </w:tcPr>
          <w:p>
            <w:r>
              <w:rPr>
                <w:rFonts w:ascii="Calibri" w:hAnsi="Calibri"/>
                <w:sz w:val="22"/>
              </w:rPr>
              <w:t>Sotomayor Rafael</w:t>
            </w:r>
          </w:p>
        </w:tc>
        <w:tc>
          <w:tcPr>
            <w:tcW w:type="dxa" w:w="1440"/>
          </w:tcPr>
          <w:p>
            <w:r>
              <w:rPr>
                <w:rFonts w:ascii="Calibri" w:hAnsi="Calibri"/>
                <w:sz w:val="22"/>
              </w:rPr>
              <w:t>CEO &amp; President</w:t>
            </w:r>
          </w:p>
        </w:tc>
        <w:tc>
          <w:tcPr>
            <w:tcW w:type="dxa" w:w="1440"/>
          </w:tcPr>
          <w:p>
            <w:r>
              <w:rPr>
                <w:rFonts w:ascii="Calibri" w:hAnsi="Calibri"/>
                <w:sz w:val="22"/>
              </w:rPr>
              <w:t>RSU Vesting / Tax Withholding</w:t>
            </w:r>
          </w:p>
        </w:tc>
        <w:tc>
          <w:tcPr>
            <w:tcW w:type="dxa" w:w="1440"/>
          </w:tcPr>
          <w:p>
            <w:r>
              <w:rPr>
                <w:rFonts w:ascii="Calibri" w:hAnsi="Calibri"/>
                <w:sz w:val="22"/>
              </w:rPr>
              <w:t>1,095 vested; 400 withheld for taxes</w:t>
            </w:r>
          </w:p>
        </w:tc>
        <w:tc>
          <w:tcPr>
            <w:tcW w:type="dxa" w:w="1440"/>
          </w:tcPr>
          <w:p>
            <w:r>
              <w:rPr>
                <w:rFonts w:ascii="Calibri" w:hAnsi="Calibri"/>
                <w:sz w:val="22"/>
              </w:rPr>
              <w:t>Apr 29, 2026</w:t>
            </w:r>
          </w:p>
        </w:tc>
        <w:tc>
          <w:tcPr>
            <w:tcW w:type="dxa" w:w="1440"/>
          </w:tcPr>
          <w:p>
            <w:r>
              <w:rPr>
                <w:rFonts w:ascii="Calibri" w:hAnsi="Calibri"/>
                <w:sz w:val="22"/>
              </w:rPr>
              <w:t>Routine RSU vest the day after Q1 earnings; tax withholding of 400 shares. Not discretionary. CEO retains 11,246 shares.</w:t>
            </w:r>
          </w:p>
        </w:tc>
      </w:tr>
    </w:tbl>
    <w:p>
      <w:r>
        <w:rPr>
          <w:rFonts w:ascii="Calibri" w:hAnsi="Calibri"/>
          <w:i/>
          <w:color w:val="525866"/>
          <w:sz w:val="22"/>
        </w:rPr>
        <w:t>Source: SEC Form 4 filings via insider transaction data.</w:t>
      </w:r>
    </w:p>
    <w:p>
      <w:r>
        <w:rPr>
          <w:rFonts w:ascii="Calibri" w:hAnsi="Calibri"/>
          <w:b/>
          <w:color w:val="525866"/>
          <w:sz w:val="22"/>
        </w:rPr>
        <w:t xml:space="preserve">Summary: </w:t>
      </w:r>
      <w:r>
        <w:rPr>
          <w:rFonts w:ascii="Calibri" w:hAnsi="Calibri"/>
          <w:color w:val="525866"/>
          <w:sz w:val="22"/>
        </w:rPr>
        <w:t>All insider activity since Q1 2026 earnings is routine and obligation-driven. The two 10b5-1 planned sales (Micallef, 1,000 shares; Jensen, 1,746 shares) are pre-scheduled and carry no negative signal. The board RSU vesting on June 10 is a standard annual event. Notably, CEO Sotomayor's RSU vest on April 29 (the day after Q1 earnings) resulted in a net addition of 695 shares to his holdings (1,095 vested minus 400 withheld), and he retains 11,246 shares — a meaningful position. No open-market discretionary buys or sells have been filed, which is neutral. The absence of any discretionary selling by senior management despite the stock's post-earnings surge is a mild positive signal.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