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NXP Semiconductors (NXPI) — Q2 2026 Earnings Preview</w:t>
      </w:r>
    </w:p>
    <w:p>
      <w:r>
        <w:rPr>
          <w:rFonts w:ascii="Calibri" w:hAnsi="Calibri"/>
          <w:b/>
          <w:color w:val="525866"/>
          <w:sz w:val="22"/>
        </w:rPr>
        <w:t xml:space="preserve">Earnings Date: </w:t>
      </w:r>
      <w:r>
        <w:rPr>
          <w:rFonts w:ascii="Calibri" w:hAnsi="Calibri"/>
          <w:color w:val="525866"/>
          <w:sz w:val="22"/>
        </w:rPr>
        <w:t xml:space="preserve">July 28, 2026  </w:t>
      </w:r>
      <w:r>
        <w:rPr>
          <w:rFonts w:ascii="Calibri" w:hAnsi="Calibri"/>
          <w:b/>
          <w:color w:val="525866"/>
          <w:sz w:val="22"/>
        </w:rPr>
        <w:t xml:space="preserve">Prepared: </w:t>
      </w:r>
      <w:r>
        <w:rPr>
          <w:rFonts w:ascii="Calibri" w:hAnsi="Calibri"/>
          <w:color w:val="525866"/>
          <w:sz w:val="22"/>
        </w:rPr>
        <w:t xml:space="preserve">July 27,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constructive — consensus sits modestly above the Q1 guidance midpoint, but NXP's own commentary since April has been consistently more bullish than the Street, making a beat the base case; the single biggest swing factor is whether the data center revenue ramp and Industrial &amp; IoT acceleration are tracking the “north of $500M” full-year data center target management laid out at Q1 earnings.</w:t>
      </w:r>
    </w:p>
    <w:p>
      <w:r>
        <w:rPr>
          <w:rFonts w:ascii="Calibri" w:hAnsi="Calibri"/>
          <w:color w:val="525866"/>
          <w:sz w:val="22"/>
        </w:rPr>
        <w:t xml:space="preserve">NXP heads into Q2 2026 earnings with one of the strongest demand backdrops in years. Management guided Q2 revenue to $3.45B (+18% YoY, +8% QoQ) at the April 28 print — well above prior Street expectations — and has since reinforced confidence at the JP Morgan (May 20) and TD Cowen (May 27) conferences, describing book-to-bill solidly above 1, distribution backlogs continuing to build, and lead times stretching out. </w:t>
      </w:r>
      <w:r>
        <w:rPr>
          <w:rFonts w:ascii="Calibri" w:hAnsi="Calibri"/>
          <w:b/>
          <w:color w:val="525866"/>
          <w:sz w:val="22"/>
        </w:rPr>
        <w:t>Consensus has drifted modestly higher since the Q1 print</w:t>
      </w:r>
      <w:r>
        <w:rPr>
          <w:rFonts w:ascii="Calibri" w:hAnsi="Calibri"/>
          <w:color w:val="525866"/>
          <w:sz w:val="22"/>
        </w:rPr>
        <w:t xml:space="preserve"> (from ~$3.460B to ~$3.468B on revenue; from ~$3.529 to ~$3.545 on non-GAAP EPS), suggesting the Street has largely absorbed the guidance beat but has not yet fully priced in the incremental positive tone from the May conferences. The stock surged ~25% on the Q1 print but has since given back roughly half those gains (trading ~$268 as of July 27 vs. a post-Q1 high near $333), meaning the multiple has compressed and the bar is not stretched. The key wildcard is the data center revenue trajectory: management guided “north of $500M” for full-year 2026 (vs. $200M in 2025), and any explicit Q2 data center revenue disclosure or raised full-year sizing could be the incremental catalyst that re-rates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$3.468B revenue and $3.545 non-GAAP EPS for Q2 — both modestly above the guidance midpoint, implying a low-to-moderate bar. </w:t>
      </w:r>
      <w:r>
        <w:rPr>
          <w:rFonts w:ascii="Calibri" w:hAnsi="Calibri"/>
          <w:b/>
          <w:color w:val="525866"/>
          <w:sz w:val="22"/>
        </w:rPr>
        <w:t>Industrial &amp; IoT is the bigger swing factor</w:t>
      </w:r>
      <w:r>
        <w:rPr>
          <w:rFonts w:ascii="Calibri" w:hAnsi="Calibri"/>
          <w:color w:val="525866"/>
          <w:sz w:val="22"/>
        </w:rPr>
        <w:t>: guided “up high 30% YoY”, this segment’s execution will determine whether NXP’s company-specific secular growth story is broadening as management claims.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Last Quarter Actual (Q1 2026)</w:t>
            </w:r>
          </w:p>
        </w:tc>
        <w:tc>
          <w:tcPr>
            <w:tcW w:type="dxa" w:w="1234"/>
          </w:tcPr>
          <w:p>
            <w:r>
              <w:rPr>
                <w:rFonts w:ascii="Calibri" w:hAnsi="Calibri"/>
                <w:b/>
                <w:sz w:val="22"/>
              </w:rPr>
              <w:t>Prior Year Period (Q2 2025 Actual)</w:t>
            </w:r>
          </w:p>
        </w:tc>
        <w:tc>
          <w:tcPr>
            <w:tcW w:type="dxa" w:w="1234"/>
          </w:tcPr>
          <w:p>
            <w:r>
              <w:rPr>
                <w:rFonts w:ascii="Calibri" w:hAnsi="Calibri"/>
                <w:b/>
                <w:sz w:val="22"/>
              </w:rPr>
              <w:t>Q2 2026 Consensus Estimate</w:t>
            </w:r>
          </w:p>
        </w:tc>
        <w:tc>
          <w:tcPr>
            <w:tcW w:type="dxa" w:w="1234"/>
          </w:tcPr>
          <w:p>
            <w:r>
              <w:rPr>
                <w:rFonts w:ascii="Calibri" w:hAnsi="Calibri"/>
                <w:b/>
                <w:sz w:val="22"/>
              </w:rPr>
              <w:t>YoY Change</w:t>
            </w:r>
          </w:p>
        </w:tc>
        <w:tc>
          <w:tcPr>
            <w:tcW w:type="dxa" w:w="1234"/>
          </w:tcPr>
          <w:p>
            <w:r>
              <w:rPr>
                <w:rFonts w:ascii="Calibri" w:hAnsi="Calibri"/>
                <w:b/>
                <w:sz w:val="22"/>
              </w:rPr>
              <w:t>Guidance (Q2 2026)</w:t>
            </w:r>
          </w:p>
        </w:tc>
        <w:tc>
          <w:tcPr>
            <w:tcW w:type="dxa" w:w="1234"/>
          </w:tcPr>
          <w:p>
            <w:r>
              <w:rPr>
                <w:rFonts w:ascii="Calibri" w:hAnsi="Calibri"/>
                <w:b/>
                <w:sz w:val="22"/>
              </w:rPr>
              <w:t>Consensus vs. Guidance Midpoint</w:t>
            </w:r>
          </w:p>
        </w:tc>
      </w:tr>
      <w:tr>
        <w:tc>
          <w:tcPr>
            <w:tcW w:type="dxa" w:w="1234"/>
          </w:tcPr>
          <w:p>
            <w:r>
              <w:rPr>
                <w:rFonts w:ascii="Calibri" w:hAnsi="Calibri"/>
                <w:sz w:val="22"/>
              </w:rPr>
              <w:t>Revenue ($B)</w:t>
            </w:r>
          </w:p>
        </w:tc>
        <w:tc>
          <w:tcPr>
            <w:tcW w:type="dxa" w:w="1234"/>
          </w:tcPr>
          <w:p>
            <w:r>
              <w:rPr>
                <w:rFonts w:ascii="Calibri" w:hAnsi="Calibri"/>
                <w:sz w:val="22"/>
              </w:rPr>
              <w:t>$3.181B</w:t>
            </w:r>
          </w:p>
        </w:tc>
        <w:tc>
          <w:tcPr>
            <w:tcW w:type="dxa" w:w="1234"/>
          </w:tcPr>
          <w:p>
            <w:r>
              <w:rPr>
                <w:rFonts w:ascii="Calibri" w:hAnsi="Calibri"/>
                <w:sz w:val="22"/>
              </w:rPr>
              <w:t>$2.926B</w:t>
            </w:r>
          </w:p>
        </w:tc>
        <w:tc>
          <w:tcPr>
            <w:tcW w:type="dxa" w:w="1234"/>
          </w:tcPr>
          <w:p>
            <w:r>
              <w:rPr>
                <w:rFonts w:ascii="Calibri" w:hAnsi="Calibri"/>
                <w:sz w:val="22"/>
              </w:rPr>
              <w:t>$3.468B</w:t>
            </w:r>
          </w:p>
        </w:tc>
        <w:tc>
          <w:tcPr>
            <w:tcW w:type="dxa" w:w="1234"/>
          </w:tcPr>
          <w:p>
            <w:r>
              <w:rPr>
                <w:rFonts w:ascii="Calibri" w:hAnsi="Calibri"/>
                <w:sz w:val="22"/>
              </w:rPr>
              <w:t>+18.5%</w:t>
            </w:r>
          </w:p>
        </w:tc>
        <w:tc>
          <w:tcPr>
            <w:tcW w:type="dxa" w:w="1234"/>
          </w:tcPr>
          <w:p>
            <w:r>
              <w:rPr>
                <w:rFonts w:ascii="Calibri" w:hAnsi="Calibri"/>
                <w:sz w:val="22"/>
              </w:rPr>
              <w:t>$3.45B ± $100M</w:t>
            </w:r>
          </w:p>
        </w:tc>
        <w:tc>
          <w:tcPr>
            <w:tcW w:type="dxa" w:w="1234"/>
          </w:tcPr>
          <w:p>
            <w:r>
              <w:rPr>
                <w:rFonts w:ascii="Calibri" w:hAnsi="Calibri"/>
                <w:sz w:val="22"/>
              </w:rPr>
              <w:t>+0.5% above midpoint</w:t>
            </w:r>
          </w:p>
        </w:tc>
      </w:tr>
      <w:tr>
        <w:tc>
          <w:tcPr>
            <w:tcW w:type="dxa" w:w="1234"/>
          </w:tcPr>
          <w:p>
            <w:r>
              <w:rPr>
                <w:rFonts w:ascii="Calibri" w:hAnsi="Calibri"/>
                <w:sz w:val="22"/>
              </w:rPr>
              <w:t>Non-GAAP EPS (Diluted)</w:t>
            </w:r>
          </w:p>
        </w:tc>
        <w:tc>
          <w:tcPr>
            <w:tcW w:type="dxa" w:w="1234"/>
          </w:tcPr>
          <w:p>
            <w:r>
              <w:rPr>
                <w:rFonts w:ascii="Calibri" w:hAnsi="Calibri"/>
                <w:sz w:val="22"/>
              </w:rPr>
              <w:t>$3.05</w:t>
            </w:r>
          </w:p>
        </w:tc>
        <w:tc>
          <w:tcPr>
            <w:tcW w:type="dxa" w:w="1234"/>
          </w:tcPr>
          <w:p>
            <w:r>
              <w:rPr>
                <w:rFonts w:ascii="Calibri" w:hAnsi="Calibri"/>
                <w:sz w:val="22"/>
              </w:rPr>
              <w:t>$2.72</w:t>
            </w:r>
          </w:p>
        </w:tc>
        <w:tc>
          <w:tcPr>
            <w:tcW w:type="dxa" w:w="1234"/>
          </w:tcPr>
          <w:p>
            <w:r>
              <w:rPr>
                <w:rFonts w:ascii="Calibri" w:hAnsi="Calibri"/>
                <w:sz w:val="22"/>
              </w:rPr>
              <w:t>$3.545</w:t>
            </w:r>
          </w:p>
        </w:tc>
        <w:tc>
          <w:tcPr>
            <w:tcW w:type="dxa" w:w="1234"/>
          </w:tcPr>
          <w:p>
            <w:r>
              <w:rPr>
                <w:rFonts w:ascii="Calibri" w:hAnsi="Calibri"/>
                <w:sz w:val="22"/>
              </w:rPr>
              <w:t>+30.3%</w:t>
            </w:r>
          </w:p>
        </w:tc>
        <w:tc>
          <w:tcPr>
            <w:tcW w:type="dxa" w:w="1234"/>
          </w:tcPr>
          <w:p>
            <w:r>
              <w:rPr>
                <w:rFonts w:ascii="Calibri" w:hAnsi="Calibri"/>
                <w:sz w:val="22"/>
              </w:rPr>
              <w:t>$3.50 (midpoint)</w:t>
            </w:r>
          </w:p>
        </w:tc>
        <w:tc>
          <w:tcPr>
            <w:tcW w:type="dxa" w:w="1234"/>
          </w:tcPr>
          <w:p>
            <w:r>
              <w:rPr>
                <w:rFonts w:ascii="Calibri" w:hAnsi="Calibri"/>
                <w:sz w:val="22"/>
              </w:rPr>
              <w:t>+1.3% above midpoint</w:t>
            </w:r>
          </w:p>
        </w:tc>
      </w:tr>
      <w:tr>
        <w:tc>
          <w:tcPr>
            <w:tcW w:type="dxa" w:w="1234"/>
          </w:tcPr>
          <w:p>
            <w:r>
              <w:rPr>
                <w:rFonts w:ascii="Calibri" w:hAnsi="Calibri"/>
                <w:sz w:val="22"/>
              </w:rPr>
              <w:t>Non-GAAP Gross Profit ($B)</w:t>
            </w:r>
          </w:p>
        </w:tc>
        <w:tc>
          <w:tcPr>
            <w:tcW w:type="dxa" w:w="1234"/>
          </w:tcPr>
          <w:p>
            <w:r>
              <w:rPr>
                <w:rFonts w:ascii="Calibri" w:hAnsi="Calibri"/>
                <w:sz w:val="22"/>
              </w:rPr>
              <w:t>$1.815B</w:t>
            </w:r>
          </w:p>
        </w:tc>
        <w:tc>
          <w:tcPr>
            <w:tcW w:type="dxa" w:w="1234"/>
          </w:tcPr>
          <w:p>
            <w:r>
              <w:rPr>
                <w:rFonts w:ascii="Calibri" w:hAnsi="Calibri"/>
                <w:sz w:val="22"/>
              </w:rPr>
              <w:t>$1.652B</w:t>
            </w:r>
          </w:p>
        </w:tc>
        <w:tc>
          <w:tcPr>
            <w:tcW w:type="dxa" w:w="1234"/>
          </w:tcPr>
          <w:p>
            <w:r>
              <w:rPr>
                <w:rFonts w:ascii="Calibri" w:hAnsi="Calibri"/>
                <w:sz w:val="22"/>
              </w:rPr>
              <w:t>$2.008B</w:t>
            </w:r>
          </w:p>
        </w:tc>
        <w:tc>
          <w:tcPr>
            <w:tcW w:type="dxa" w:w="1234"/>
          </w:tcPr>
          <w:p>
            <w:r>
              <w:rPr>
                <w:rFonts w:ascii="Calibri" w:hAnsi="Calibri"/>
                <w:sz w:val="22"/>
              </w:rPr>
              <w:t>+21.5%</w:t>
            </w:r>
          </w:p>
        </w:tc>
        <w:tc>
          <w:tcPr>
            <w:tcW w:type="dxa" w:w="1234"/>
          </w:tcPr>
          <w:p>
            <w:r>
              <w:rPr>
                <w:rFonts w:ascii="Calibri" w:hAnsi="Calibri"/>
                <w:sz w:val="22"/>
              </w:rPr>
              <w:t>~58% GM ± 50bps</w:t>
            </w:r>
          </w:p>
        </w:tc>
        <w:tc>
          <w:tcPr>
            <w:tcW w:type="dxa" w:w="1234"/>
          </w:tcPr>
          <w:p>
            <w:r>
              <w:rPr>
                <w:rFonts w:ascii="Calibri" w:hAnsi="Calibri"/>
                <w:sz w:val="22"/>
              </w:rPr>
              <w:t>~+0.1% vs. 58% midpoint</w:t>
            </w:r>
          </w:p>
        </w:tc>
      </w:tr>
      <w:tr>
        <w:tc>
          <w:tcPr>
            <w:tcW w:type="dxa" w:w="1234"/>
          </w:tcPr>
          <w:p>
            <w:r>
              <w:rPr>
                <w:rFonts w:ascii="Calibri" w:hAnsi="Calibri"/>
                <w:sz w:val="22"/>
              </w:rPr>
              <w:t>Automotive Revenue ($B)</w:t>
            </w:r>
          </w:p>
        </w:tc>
        <w:tc>
          <w:tcPr>
            <w:tcW w:type="dxa" w:w="1234"/>
          </w:tcPr>
          <w:p>
            <w:r>
              <w:rPr>
                <w:rFonts w:ascii="Calibri" w:hAnsi="Calibri"/>
                <w:sz w:val="22"/>
              </w:rPr>
              <w:t>$1.782B</w:t>
            </w:r>
          </w:p>
        </w:tc>
        <w:tc>
          <w:tcPr>
            <w:tcW w:type="dxa" w:w="1234"/>
          </w:tcPr>
          <w:p>
            <w:r>
              <w:rPr>
                <w:rFonts w:ascii="Calibri" w:hAnsi="Calibri"/>
                <w:sz w:val="22"/>
              </w:rPr>
              <w:t>$1.729B</w:t>
            </w:r>
          </w:p>
        </w:tc>
        <w:tc>
          <w:tcPr>
            <w:tcW w:type="dxa" w:w="1234"/>
          </w:tcPr>
          <w:p>
            <w:r>
              <w:rPr>
                <w:rFonts w:ascii="Calibri" w:hAnsi="Calibri"/>
                <w:sz w:val="22"/>
              </w:rPr>
              <w:t>$1.939B</w:t>
            </w:r>
          </w:p>
        </w:tc>
        <w:tc>
          <w:tcPr>
            <w:tcW w:type="dxa" w:w="1234"/>
          </w:tcPr>
          <w:p>
            <w:r>
              <w:rPr>
                <w:rFonts w:ascii="Calibri" w:hAnsi="Calibri"/>
                <w:sz w:val="22"/>
              </w:rPr>
              <w:t>+12.1%</w:t>
            </w:r>
          </w:p>
        </w:tc>
        <w:tc>
          <w:tcPr>
            <w:tcW w:type="dxa" w:w="1234"/>
          </w:tcPr>
          <w:p>
            <w:r>
              <w:rPr>
                <w:rFonts w:ascii="Calibri" w:hAnsi="Calibri"/>
                <w:sz w:val="22"/>
              </w:rPr>
              <w:t>Up low double-digit % YoY; up high single-digit % QoQ</w:t>
            </w:r>
          </w:p>
        </w:tc>
        <w:tc>
          <w:tcPr>
            <w:tcW w:type="dxa" w:w="1234"/>
          </w:tcPr>
          <w:p>
            <w:r>
              <w:rPr>
                <w:rFonts w:ascii="Calibri" w:hAnsi="Calibri"/>
                <w:sz w:val="22"/>
              </w:rPr>
              <w:t>~+0.3% above midpoint</w:t>
            </w:r>
          </w:p>
        </w:tc>
      </w:tr>
      <w:tr>
        <w:tc>
          <w:tcPr>
            <w:tcW w:type="dxa" w:w="1234"/>
          </w:tcPr>
          <w:p>
            <w:r>
              <w:rPr>
                <w:rFonts w:ascii="Calibri" w:hAnsi="Calibri"/>
                <w:sz w:val="22"/>
              </w:rPr>
              <w:t>Industrial &amp; IoT Revenue ($B)</w:t>
            </w:r>
          </w:p>
        </w:tc>
        <w:tc>
          <w:tcPr>
            <w:tcW w:type="dxa" w:w="1234"/>
          </w:tcPr>
          <w:p>
            <w:r>
              <w:rPr>
                <w:rFonts w:ascii="Calibri" w:hAnsi="Calibri"/>
                <w:sz w:val="22"/>
              </w:rPr>
              <w:t>$0.628B</w:t>
            </w:r>
          </w:p>
        </w:tc>
        <w:tc>
          <w:tcPr>
            <w:tcW w:type="dxa" w:w="1234"/>
          </w:tcPr>
          <w:p>
            <w:r>
              <w:rPr>
                <w:rFonts w:ascii="Calibri" w:hAnsi="Calibri"/>
                <w:sz w:val="22"/>
              </w:rPr>
              <w:t>$0.546B</w:t>
            </w:r>
          </w:p>
        </w:tc>
        <w:tc>
          <w:tcPr>
            <w:tcW w:type="dxa" w:w="1234"/>
          </w:tcPr>
          <w:p>
            <w:r>
              <w:rPr>
                <w:rFonts w:ascii="Calibri" w:hAnsi="Calibri"/>
                <w:sz w:val="22"/>
              </w:rPr>
              <w:t>$0.742B</w:t>
            </w:r>
          </w:p>
        </w:tc>
        <w:tc>
          <w:tcPr>
            <w:tcW w:type="dxa" w:w="1234"/>
          </w:tcPr>
          <w:p>
            <w:r>
              <w:rPr>
                <w:rFonts w:ascii="Calibri" w:hAnsi="Calibri"/>
                <w:sz w:val="22"/>
              </w:rPr>
              <w:t>+35.9%</w:t>
            </w:r>
          </w:p>
        </w:tc>
        <w:tc>
          <w:tcPr>
            <w:tcW w:type="dxa" w:w="1234"/>
          </w:tcPr>
          <w:p>
            <w:r>
              <w:rPr>
                <w:rFonts w:ascii="Calibri" w:hAnsi="Calibri"/>
                <w:sz w:val="22"/>
              </w:rPr>
              <w:t>Up high 30% YoY; up high teens % QoQ</w:t>
            </w:r>
          </w:p>
        </w:tc>
        <w:tc>
          <w:tcPr>
            <w:tcW w:type="dxa" w:w="1234"/>
          </w:tcPr>
          <w:p>
            <w:r>
              <w:rPr>
                <w:rFonts w:ascii="Calibri" w:hAnsi="Calibri"/>
                <w:sz w:val="22"/>
              </w:rPr>
              <w:t>~+0.3% above midpoint</w:t>
            </w:r>
          </w:p>
        </w:tc>
      </w:tr>
    </w:tbl>
    <w:p>
      <w:r>
        <w:rPr>
          <w:rFonts w:ascii="Calibri" w:hAnsi="Calibri"/>
          <w:i/>
          <w:color w:val="525866"/>
          <w:sz w:val="22"/>
        </w:rPr>
        <w:t>Sources: Visible Alpha Consensus and Actuals Data (Revenue, Non-GAAP EPS, Gross Profit, Automotive Revenue, Industrial &amp; IoT Revenue). Guidance from NXP Q1 2026 Earnings Call (April 28, 2026). YoY change computed from VA actuals.</w:t>
      </w:r>
    </w:p>
    <w:p>
      <w:pPr>
        <w:pStyle w:val="Heading3"/>
      </w:pPr>
      <w:r>
        <w:rPr>
          <w:rFonts w:ascii="Calibri" w:hAnsi="Calibri"/>
          <w:b/>
          <w:color w:val="3B4259"/>
          <w:sz w:val="24"/>
        </w:rPr>
        <w:t>Table 2 — Beat/Miss History (Last 8 Quarters, Top 2 KPIs: Revenue &amp; Non-GAAP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Quarter</w:t>
            </w:r>
          </w:p>
        </w:tc>
        <w:tc>
          <w:tcPr>
            <w:tcW w:type="dxa" w:w="1440"/>
          </w:tcPr>
          <w:p>
            <w:r>
              <w:rPr>
                <w:rFonts w:ascii="Calibri" w:hAnsi="Calibri"/>
                <w:b/>
                <w:sz w:val="22"/>
              </w:rPr>
              <w:t>KPI</w:t>
            </w:r>
          </w:p>
        </w:tc>
        <w:tc>
          <w:tcPr>
            <w:tcW w:type="dxa" w:w="1440"/>
          </w:tcPr>
          <w:p>
            <w:r>
              <w:rPr>
                <w:rFonts w:ascii="Calibri" w:hAnsi="Calibri"/>
                <w:b/>
                <w:sz w:val="22"/>
              </w:rPr>
              <w:t>Reported</w:t>
            </w:r>
          </w:p>
        </w:tc>
        <w:tc>
          <w:tcPr>
            <w:tcW w:type="dxa" w:w="1440"/>
          </w:tcPr>
          <w:p>
            <w:r>
              <w:rPr>
                <w:rFonts w:ascii="Calibri" w:hAnsi="Calibri"/>
                <w:b/>
                <w:sz w:val="22"/>
              </w:rPr>
              <w:t>Consensus</w:t>
            </w:r>
          </w:p>
        </w:tc>
        <w:tc>
          <w:tcPr>
            <w:tcW w:type="dxa" w:w="1440"/>
          </w:tcPr>
          <w:p>
            <w:r>
              <w:rPr>
                <w:rFonts w:ascii="Calibri" w:hAnsi="Calibri"/>
                <w:b/>
                <w:sz w:val="22"/>
              </w:rPr>
              <w:t>Surprise %</w:t>
            </w:r>
          </w:p>
        </w:tc>
        <w:tc>
          <w:tcPr>
            <w:tcW w:type="dxa" w:w="1440"/>
          </w:tcPr>
          <w:p>
            <w:r>
              <w:rPr>
                <w:rFonts w:ascii="Calibri" w:hAnsi="Calibri"/>
                <w:b/>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$3.181B</w:t>
            </w:r>
          </w:p>
        </w:tc>
        <w:tc>
          <w:tcPr>
            <w:tcW w:type="dxa" w:w="1440"/>
          </w:tcPr>
          <w:p>
            <w:r>
              <w:rPr>
                <w:rFonts w:ascii="Calibri" w:hAnsi="Calibri"/>
                <w:sz w:val="22"/>
              </w:rPr>
              <w:t>$3.157B</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$3.05</w:t>
            </w:r>
          </w:p>
        </w:tc>
        <w:tc>
          <w:tcPr>
            <w:tcW w:type="dxa" w:w="1440"/>
          </w:tcPr>
          <w:p>
            <w:r>
              <w:rPr>
                <w:rFonts w:ascii="Calibri" w:hAnsi="Calibri"/>
                <w:sz w:val="22"/>
              </w:rPr>
              <w:t>$2.977</w:t>
            </w:r>
          </w:p>
        </w:tc>
        <w:tc>
          <w:tcPr>
            <w:tcW w:type="dxa" w:w="1440"/>
          </w:tcPr>
          <w:p>
            <w:r>
              <w:rPr>
                <w:rFonts w:ascii="Calibri" w:hAnsi="Calibri"/>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$3.335B</w:t>
            </w:r>
          </w:p>
        </w:tc>
        <w:tc>
          <w:tcPr>
            <w:tcW w:type="dxa" w:w="1440"/>
          </w:tcPr>
          <w:p>
            <w:r>
              <w:rPr>
                <w:rFonts w:ascii="Calibri" w:hAnsi="Calibri"/>
                <w:sz w:val="22"/>
              </w:rPr>
              <w:t>$3.312B</w:t>
            </w:r>
          </w:p>
        </w:tc>
        <w:tc>
          <w:tcPr>
            <w:tcW w:type="dxa" w:w="1440"/>
          </w:tcPr>
          <w:p>
            <w:r>
              <w:rPr>
                <w:rFonts w:ascii="Calibri" w:hAnsi="Calibri"/>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$3.35</w:t>
            </w:r>
          </w:p>
        </w:tc>
        <w:tc>
          <w:tcPr>
            <w:tcW w:type="dxa" w:w="1440"/>
          </w:tcPr>
          <w:p>
            <w:r>
              <w:rPr>
                <w:rFonts w:ascii="Calibri" w:hAnsi="Calibri"/>
                <w:sz w:val="22"/>
              </w:rPr>
              <w:t>$3.324</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$3.173B</w:t>
            </w:r>
          </w:p>
        </w:tc>
        <w:tc>
          <w:tcPr>
            <w:tcW w:type="dxa" w:w="1440"/>
          </w:tcPr>
          <w:p>
            <w:r>
              <w:rPr>
                <w:rFonts w:ascii="Calibri" w:hAnsi="Calibri"/>
                <w:sz w:val="22"/>
              </w:rPr>
              <w:t>$3.161B</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$3.11</w:t>
            </w:r>
          </w:p>
        </w:tc>
        <w:tc>
          <w:tcPr>
            <w:tcW w:type="dxa" w:w="1440"/>
          </w:tcPr>
          <w:p>
            <w:r>
              <w:rPr>
                <w:rFonts w:ascii="Calibri" w:hAnsi="Calibri"/>
                <w:sz w:val="22"/>
              </w:rPr>
              <w:t>$3.123</w:t>
            </w:r>
          </w:p>
        </w:tc>
        <w:tc>
          <w:tcPr>
            <w:tcW w:type="dxa" w:w="1440"/>
          </w:tcPr>
          <w:p>
            <w:r>
              <w:rPr>
                <w:rFonts w:ascii="Calibri" w:hAnsi="Calibri"/>
                <w:sz w:val="22"/>
              </w:rPr>
              <w:t>-0.4%</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$2.926B</w:t>
            </w:r>
          </w:p>
        </w:tc>
        <w:tc>
          <w:tcPr>
            <w:tcW w:type="dxa" w:w="1440"/>
          </w:tcPr>
          <w:p>
            <w:r>
              <w:rPr>
                <w:rFonts w:ascii="Calibri" w:hAnsi="Calibri"/>
                <w:sz w:val="22"/>
              </w:rPr>
              <w:t>$2.903B</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$2.72</w:t>
            </w:r>
          </w:p>
        </w:tc>
        <w:tc>
          <w:tcPr>
            <w:tcW w:type="dxa" w:w="1440"/>
          </w:tcPr>
          <w:p>
            <w:r>
              <w:rPr>
                <w:rFonts w:ascii="Calibri" w:hAnsi="Calibri"/>
                <w:sz w:val="22"/>
              </w:rPr>
              <w:t>$2.672</w:t>
            </w:r>
          </w:p>
        </w:tc>
        <w:tc>
          <w:tcPr>
            <w:tcW w:type="dxa" w:w="1440"/>
          </w:tcPr>
          <w:p>
            <w:r>
              <w:rPr>
                <w:rFonts w:ascii="Calibri" w:hAnsi="Calibri"/>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$2.835B</w:t>
            </w:r>
          </w:p>
        </w:tc>
        <w:tc>
          <w:tcPr>
            <w:tcW w:type="dxa" w:w="1440"/>
          </w:tcPr>
          <w:p>
            <w:r>
              <w:rPr>
                <w:rFonts w:ascii="Calibri" w:hAnsi="Calibri"/>
                <w:sz w:val="22"/>
              </w:rPr>
              <w:t>$2.828B</w:t>
            </w:r>
          </w:p>
        </w:tc>
        <w:tc>
          <w:tcPr>
            <w:tcW w:type="dxa" w:w="1440"/>
          </w:tcPr>
          <w:p>
            <w:r>
              <w:rPr>
                <w:rFonts w:ascii="Calibri" w:hAnsi="Calibri"/>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$2.64</w:t>
            </w:r>
          </w:p>
        </w:tc>
        <w:tc>
          <w:tcPr>
            <w:tcW w:type="dxa" w:w="1440"/>
          </w:tcPr>
          <w:p>
            <w:r>
              <w:rPr>
                <w:rFonts w:ascii="Calibri" w:hAnsi="Calibri"/>
                <w:sz w:val="22"/>
              </w:rPr>
              <w:t>$2.586</w:t>
            </w:r>
          </w:p>
        </w:tc>
        <w:tc>
          <w:tcPr>
            <w:tcW w:type="dxa" w:w="1440"/>
          </w:tcPr>
          <w:p>
            <w:r>
              <w:rPr>
                <w:rFonts w:ascii="Calibri" w:hAnsi="Calibri"/>
                <w:sz w:val="22"/>
              </w:rPr>
              <w:t>+2.1%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$3.111B</w:t>
            </w:r>
          </w:p>
        </w:tc>
        <w:tc>
          <w:tcPr>
            <w:tcW w:type="dxa" w:w="1440"/>
          </w:tcPr>
          <w:p>
            <w:r>
              <w:rPr>
                <w:rFonts w:ascii="Calibri" w:hAnsi="Calibri"/>
                <w:sz w:val="22"/>
              </w:rPr>
              <w:t>$3.100B</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$3.18</w:t>
            </w:r>
          </w:p>
        </w:tc>
        <w:tc>
          <w:tcPr>
            <w:tcW w:type="dxa" w:w="1440"/>
          </w:tcPr>
          <w:p>
            <w:r>
              <w:rPr>
                <w:rFonts w:ascii="Calibri" w:hAnsi="Calibri"/>
                <w:sz w:val="22"/>
              </w:rPr>
              <w:t>$3.126</w:t>
            </w:r>
          </w:p>
        </w:tc>
        <w:tc>
          <w:tcPr>
            <w:tcW w:type="dxa" w:w="1440"/>
          </w:tcPr>
          <w:p>
            <w:r>
              <w:rPr>
                <w:rFonts w:ascii="Calibri" w:hAnsi="Calibri"/>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$3.250B</w:t>
            </w:r>
          </w:p>
        </w:tc>
        <w:tc>
          <w:tcPr>
            <w:tcW w:type="dxa" w:w="1440"/>
          </w:tcPr>
          <w:p>
            <w:r>
              <w:rPr>
                <w:rFonts w:ascii="Calibri" w:hAnsi="Calibri"/>
                <w:sz w:val="22"/>
              </w:rPr>
              <w:t>$3.250B</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$3.45</w:t>
            </w:r>
          </w:p>
        </w:tc>
        <w:tc>
          <w:tcPr>
            <w:tcW w:type="dxa" w:w="1440"/>
          </w:tcPr>
          <w:p>
            <w:r>
              <w:rPr>
                <w:rFonts w:ascii="Calibri" w:hAnsi="Calibri"/>
                <w:sz w:val="22"/>
              </w:rPr>
              <w:t>$3.422</w:t>
            </w:r>
          </w:p>
        </w:tc>
        <w:tc>
          <w:tcPr>
            <w:tcW w:type="dxa" w:w="1440"/>
          </w:tcPr>
          <w:p>
            <w:r>
              <w:rPr>
                <w:rFonts w:ascii="Calibri" w:hAnsi="Calibri"/>
                <w:sz w:val="22"/>
              </w:rPr>
              <w:t>+0.8%</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NXP has beaten or matched revenue consensus in 7 of the last 8 quarters and beaten non-GAAP EPS in 7 of 8, with beats typically in the +0.5% to +2.5% range — a consistent but modest outperformance pattern that sets a moderate bar heading into Q2 2026.</w:t>
      </w:r>
      <w:r>
        <w:rPr>
          <w:rFonts w:ascii="Calibri" w:hAnsi="Calibri"/>
          <w:i/>
          <w:color w:val="525866"/>
          <w:sz w:val="22"/>
        </w:rPr>
        <w:t xml:space="preserv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April 28 Q1 earnings call, but management’s tone at the May 20 JP Morgan and May 27 TD Cowen conferences was incrementally more bullish — particularly on pricing power and data center trajectory — suggesting the Q2 guide is a floor rather than a ceiling.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Apr 28)</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Revenue</w:t>
            </w:r>
          </w:p>
        </w:tc>
        <w:tc>
          <w:tcPr>
            <w:tcW w:type="dxa" w:w="1728"/>
          </w:tcPr>
          <w:p>
            <w:r>
              <w:rPr>
                <w:rFonts w:ascii="Calibri" w:hAnsi="Calibri"/>
                <w:sz w:val="22"/>
              </w:rPr>
              <w:t>$3.45B ± $100M</w:t>
            </w:r>
          </w:p>
        </w:tc>
        <w:tc>
          <w:tcPr>
            <w:tcW w:type="dxa" w:w="1728"/>
          </w:tcPr>
          <w:p>
            <w:r>
              <w:rPr>
                <w:rFonts w:ascii="Calibri" w:hAnsi="Calibri"/>
                <w:sz w:val="22"/>
              </w:rPr>
              <w:t>—</w:t>
            </w:r>
          </w:p>
        </w:tc>
        <w:tc>
          <w:tcPr>
            <w:tcW w:type="dxa" w:w="1728"/>
          </w:tcPr>
          <w:p>
            <w:r>
              <w:rPr>
                <w:rFonts w:ascii="Calibri" w:hAnsi="Calibri"/>
                <w:sz w:val="22"/>
              </w:rPr>
              <w:t>$3.468B</w:t>
            </w:r>
          </w:p>
        </w:tc>
        <w:tc>
          <w:tcPr>
            <w:tcW w:type="dxa" w:w="1728"/>
          </w:tcPr>
          <w:p>
            <w:r>
              <w:rPr>
                <w:rFonts w:ascii="Calibri" w:hAnsi="Calibri"/>
                <w:sz w:val="22"/>
              </w:rPr>
              <w:t>No formal revision; May conferences reinforced confidence in demand trajectory</w:t>
            </w:r>
          </w:p>
        </w:tc>
      </w:tr>
      <w:tr>
        <w:tc>
          <w:tcPr>
            <w:tcW w:type="dxa" w:w="1728"/>
          </w:tcPr>
          <w:p>
            <w:r>
              <w:rPr>
                <w:rFonts w:ascii="Calibri" w:hAnsi="Calibri"/>
                <w:sz w:val="22"/>
              </w:rPr>
              <w:t>Non-GAAP Gross Margin</w:t>
            </w:r>
          </w:p>
        </w:tc>
        <w:tc>
          <w:tcPr>
            <w:tcW w:type="dxa" w:w="1728"/>
          </w:tcPr>
          <w:p>
            <w:r>
              <w:rPr>
                <w:rFonts w:ascii="Calibri" w:hAnsi="Calibri"/>
                <w:sz w:val="22"/>
              </w:rPr>
              <w:t>58% ± 50bps</w:t>
            </w:r>
          </w:p>
        </w:tc>
        <w:tc>
          <w:tcPr>
            <w:tcW w:type="dxa" w:w="1728"/>
          </w:tcPr>
          <w:p>
            <w:r>
              <w:rPr>
                <w:rFonts w:ascii="Calibri" w:hAnsi="Calibri"/>
                <w:sz w:val="22"/>
              </w:rPr>
              <w:t>—</w:t>
            </w:r>
          </w:p>
        </w:tc>
        <w:tc>
          <w:tcPr>
            <w:tcW w:type="dxa" w:w="1728"/>
          </w:tcPr>
          <w:p>
            <w:r>
              <w:rPr>
                <w:rFonts w:ascii="Calibri" w:hAnsi="Calibri"/>
                <w:sz w:val="22"/>
              </w:rPr>
              <w:t>~57.9%</w:t>
            </w:r>
          </w:p>
        </w:tc>
        <w:tc>
          <w:tcPr>
            <w:tcW w:type="dxa" w:w="1728"/>
          </w:tcPr>
          <w:p>
            <w:r>
              <w:rPr>
                <w:rFonts w:ascii="Calibri" w:hAnsi="Calibri"/>
                <w:sz w:val="22"/>
              </w:rPr>
              <w:t>No revision; TD Cowen (May 27) reiterated $1B incremental revenue = ~100bps GM expansion rule of thumb</w:t>
            </w:r>
          </w:p>
        </w:tc>
      </w:tr>
      <w:tr>
        <w:tc>
          <w:tcPr>
            <w:tcW w:type="dxa" w:w="1728"/>
          </w:tcPr>
          <w:p>
            <w:r>
              <w:rPr>
                <w:rFonts w:ascii="Calibri" w:hAnsi="Calibri"/>
                <w:sz w:val="22"/>
              </w:rPr>
              <w:t>Non-GAAP Operating Margin</w:t>
            </w:r>
          </w:p>
        </w:tc>
        <w:tc>
          <w:tcPr>
            <w:tcW w:type="dxa" w:w="1728"/>
          </w:tcPr>
          <w:p>
            <w:r>
              <w:rPr>
                <w:rFonts w:ascii="Calibri" w:hAnsi="Calibri"/>
                <w:sz w:val="22"/>
              </w:rPr>
              <w:t>~34.7% (midpoint)</w:t>
            </w:r>
          </w:p>
        </w:tc>
        <w:tc>
          <w:tcPr>
            <w:tcW w:type="dxa" w:w="1728"/>
          </w:tcPr>
          <w:p>
            <w:r>
              <w:rPr>
                <w:rFonts w:ascii="Calibri" w:hAnsi="Calibri"/>
                <w:sz w:val="22"/>
              </w:rPr>
              <w:t>—</w:t>
            </w:r>
          </w:p>
        </w:tc>
        <w:tc>
          <w:tcPr>
            <w:tcW w:type="dxa" w:w="1728"/>
          </w:tcPr>
          <w:p>
            <w:r>
              <w:rPr>
                <w:rFonts w:ascii="Calibri" w:hAnsi="Calibri"/>
                <w:sz w:val="22"/>
              </w:rPr>
              <w:t>~34.7%</w:t>
            </w:r>
          </w:p>
        </w:tc>
        <w:tc>
          <w:tcPr>
            <w:tcW w:type="dxa" w:w="1728"/>
          </w:tcPr>
          <w:p>
            <w:r>
              <w:rPr>
                <w:rFonts w:ascii="Calibri" w:hAnsi="Calibri"/>
                <w:sz w:val="22"/>
              </w:rPr>
              <w:t>No revision; OpEx guided $800M ± $10M</w:t>
            </w:r>
          </w:p>
        </w:tc>
      </w:tr>
      <w:tr>
        <w:tc>
          <w:tcPr>
            <w:tcW w:type="dxa" w:w="1728"/>
          </w:tcPr>
          <w:p>
            <w:r>
              <w:rPr>
                <w:rFonts w:ascii="Calibri" w:hAnsi="Calibri"/>
                <w:sz w:val="22"/>
              </w:rPr>
              <w:t>Non-GAAP EPS</w:t>
            </w:r>
          </w:p>
        </w:tc>
        <w:tc>
          <w:tcPr>
            <w:tcW w:type="dxa" w:w="1728"/>
          </w:tcPr>
          <w:p>
            <w:r>
              <w:rPr>
                <w:rFonts w:ascii="Calibri" w:hAnsi="Calibri"/>
                <w:sz w:val="22"/>
              </w:rPr>
              <w:t>$3.50 (midpoint)</w:t>
            </w:r>
          </w:p>
        </w:tc>
        <w:tc>
          <w:tcPr>
            <w:tcW w:type="dxa" w:w="1728"/>
          </w:tcPr>
          <w:p>
            <w:r>
              <w:rPr>
                <w:rFonts w:ascii="Calibri" w:hAnsi="Calibri"/>
                <w:sz w:val="22"/>
              </w:rPr>
              <w:t>—</w:t>
            </w:r>
          </w:p>
        </w:tc>
        <w:tc>
          <w:tcPr>
            <w:tcW w:type="dxa" w:w="1728"/>
          </w:tcPr>
          <w:p>
            <w:r>
              <w:rPr>
                <w:rFonts w:ascii="Calibri" w:hAnsi="Calibri"/>
                <w:sz w:val="22"/>
              </w:rPr>
              <w:t>$3.545</w:t>
            </w:r>
          </w:p>
        </w:tc>
        <w:tc>
          <w:tcPr>
            <w:tcW w:type="dxa" w:w="1728"/>
          </w:tcPr>
          <w:p>
            <w:r>
              <w:rPr>
                <w:rFonts w:ascii="Calibri" w:hAnsi="Calibri"/>
                <w:sz w:val="22"/>
              </w:rPr>
              <w:t>No revision; consensus drifted +1.3% above midpoint since Q1 print</w:t>
            </w:r>
          </w:p>
        </w:tc>
      </w:tr>
      <w:tr>
        <w:tc>
          <w:tcPr>
            <w:tcW w:type="dxa" w:w="1728"/>
          </w:tcPr>
          <w:p>
            <w:r>
              <w:rPr>
                <w:rFonts w:ascii="Calibri" w:hAnsi="Calibri"/>
                <w:sz w:val="22"/>
              </w:rPr>
              <w:t>Automotive Revenue</w:t>
            </w:r>
          </w:p>
        </w:tc>
        <w:tc>
          <w:tcPr>
            <w:tcW w:type="dxa" w:w="1728"/>
          </w:tcPr>
          <w:p>
            <w:r>
              <w:rPr>
                <w:rFonts w:ascii="Calibri" w:hAnsi="Calibri"/>
                <w:sz w:val="22"/>
              </w:rPr>
              <w:t>Up low double-digit % YoY; up high single-digit % QoQ</w:t>
            </w:r>
          </w:p>
        </w:tc>
        <w:tc>
          <w:tcPr>
            <w:tcW w:type="dxa" w:w="1728"/>
          </w:tcPr>
          <w:p>
            <w:r>
              <w:rPr>
                <w:rFonts w:ascii="Calibri" w:hAnsi="Calibri"/>
                <w:sz w:val="22"/>
              </w:rPr>
              <w:t>—</w:t>
            </w:r>
          </w:p>
        </w:tc>
        <w:tc>
          <w:tcPr>
            <w:tcW w:type="dxa" w:w="1728"/>
          </w:tcPr>
          <w:p>
            <w:r>
              <w:rPr>
                <w:rFonts w:ascii="Calibri" w:hAnsi="Calibri"/>
                <w:sz w:val="22"/>
              </w:rPr>
              <w:t>$1.939B (+12.1% YoY)</w:t>
            </w:r>
          </w:p>
        </w:tc>
        <w:tc>
          <w:tcPr>
            <w:tcW w:type="dxa" w:w="1728"/>
          </w:tcPr>
          <w:p>
            <w:r>
              <w:rPr>
                <w:rFonts w:ascii="Calibri" w:hAnsi="Calibri"/>
                <w:sz w:val="22"/>
              </w:rPr>
              <w:t>JP Morgan (May 20): “high teens % YoY” implied by guidance; China auto growing YoY</w:t>
            </w:r>
          </w:p>
        </w:tc>
      </w:tr>
      <w:tr>
        <w:tc>
          <w:tcPr>
            <w:tcW w:type="dxa" w:w="1728"/>
          </w:tcPr>
          <w:p>
            <w:r>
              <w:rPr>
                <w:rFonts w:ascii="Calibri" w:hAnsi="Calibri"/>
                <w:sz w:val="22"/>
              </w:rPr>
              <w:t>Industrial &amp; IoT Revenue</w:t>
            </w:r>
          </w:p>
        </w:tc>
        <w:tc>
          <w:tcPr>
            <w:tcW w:type="dxa" w:w="1728"/>
          </w:tcPr>
          <w:p>
            <w:r>
              <w:rPr>
                <w:rFonts w:ascii="Calibri" w:hAnsi="Calibri"/>
                <w:sz w:val="22"/>
              </w:rPr>
              <w:t>Up high 30% YoY; up high teens % QoQ</w:t>
            </w:r>
          </w:p>
        </w:tc>
        <w:tc>
          <w:tcPr>
            <w:tcW w:type="dxa" w:w="1728"/>
          </w:tcPr>
          <w:p>
            <w:r>
              <w:rPr>
                <w:rFonts w:ascii="Calibri" w:hAnsi="Calibri"/>
                <w:sz w:val="22"/>
              </w:rPr>
              <w:t>—</w:t>
            </w:r>
          </w:p>
        </w:tc>
        <w:tc>
          <w:tcPr>
            <w:tcW w:type="dxa" w:w="1728"/>
          </w:tcPr>
          <w:p>
            <w:r>
              <w:rPr>
                <w:rFonts w:ascii="Calibri" w:hAnsi="Calibri"/>
                <w:sz w:val="22"/>
              </w:rPr>
              <w:t>$0.742B (+35.9% YoY)</w:t>
            </w:r>
          </w:p>
        </w:tc>
        <w:tc>
          <w:tcPr>
            <w:tcW w:type="dxa" w:w="1728"/>
          </w:tcPr>
          <w:p>
            <w:r>
              <w:rPr>
                <w:rFonts w:ascii="Calibri" w:hAnsi="Calibri"/>
                <w:sz w:val="22"/>
              </w:rPr>
              <w:t>Broad-based strength; secular growth drivers ~37% of segment, growing 40-50%+</w:t>
            </w:r>
          </w:p>
        </w:tc>
      </w:tr>
      <w:tr>
        <w:tc>
          <w:tcPr>
            <w:tcW w:type="dxa" w:w="1728"/>
          </w:tcPr>
          <w:p>
            <w:r>
              <w:rPr>
                <w:rFonts w:ascii="Calibri" w:hAnsi="Calibri"/>
                <w:sz w:val="22"/>
              </w:rPr>
              <w:t>Data Center Revenue (FY 2026)</w:t>
            </w:r>
          </w:p>
        </w:tc>
        <w:tc>
          <w:tcPr>
            <w:tcW w:type="dxa" w:w="1728"/>
          </w:tcPr>
          <w:p>
            <w:r>
              <w:rPr>
                <w:rFonts w:ascii="Calibri" w:hAnsi="Calibri"/>
                <w:sz w:val="22"/>
              </w:rPr>
              <w:t>“North of $500M” (vs. $200M in 2025)</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TD Cowen (May 27): confirmed $500M target; aspiration to grow at 2x the ~10% CAGR control-plane SAM</w:t>
            </w:r>
          </w:p>
        </w:tc>
      </w:tr>
      <w:tr>
        <w:tc>
          <w:tcPr>
            <w:tcW w:type="dxa" w:w="1728"/>
          </w:tcPr>
          <w:p>
            <w:r>
              <w:rPr>
                <w:rFonts w:ascii="Calibri" w:hAnsi="Calibri"/>
                <w:sz w:val="22"/>
              </w:rPr>
              <w:t>Pricing</w:t>
            </w:r>
          </w:p>
        </w:tc>
        <w:tc>
          <w:tcPr>
            <w:tcW w:type="dxa" w:w="1728"/>
          </w:tcPr>
          <w:p>
            <w:r>
              <w:rPr>
                <w:rFonts w:ascii="Calibri" w:hAnsi="Calibri"/>
                <w:sz w:val="22"/>
              </w:rPr>
              <w:t>Selective increases in distribution channel; Q2 impact “immaterial”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TD Cowen (May 27): price increases broadening to H2; energy, transport, precious metals, substrates driving cost inflation</w:t>
            </w:r>
          </w:p>
        </w:tc>
      </w:tr>
    </w:tbl>
    <w:p>
      <w:r>
        <w:rPr>
          <w:rFonts w:ascii="Calibri" w:hAnsi="Calibri"/>
          <w:i/>
          <w:color w:val="525866"/>
          <w:sz w:val="22"/>
        </w:rPr>
        <w:t>Sources: NXP Q1 2026 Earnings Call transcript (April 28, 2026); JP Morgan Global Technology, Media and Communications Conference transcript (May 20, 2026); TD Cowen Technology, Media &amp; Telecom Conference transcript (May 27, 2026). Consensus from Visible Alpha.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drifted modestly higher since the Q1 print — revenue up ~$8M and EPS up ~$0.016 for Q2, and revenue up ~$137M and EPS up ~$0.199 for FY 2026 — tracking directionally with management’s more bullish tone but not fully pricing in the upside scenario. The gap between consensus and guidance midpoints is narrow, suggesting limited cushion if execution disappoints but also a low bar for a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~5 Days Post Q1 Earnings (May 5, 2026)</w:t>
            </w:r>
          </w:p>
        </w:tc>
        <w:tc>
          <w:tcPr>
            <w:tcW w:type="dxa" w:w="1080"/>
          </w:tcPr>
          <w:p>
            <w:r>
              <w:rPr>
                <w:rFonts w:ascii="Calibri" w:hAnsi="Calibri"/>
                <w:b/>
                <w:sz w:val="22"/>
              </w:rPr>
              <w:t>Current Consensus (Jul 27, 2026)</w:t>
            </w:r>
          </w:p>
        </w:tc>
        <w:tc>
          <w:tcPr>
            <w:tcW w:type="dxa" w:w="1080"/>
          </w:tcPr>
          <w:p>
            <w:r>
              <w:rPr>
                <w:rFonts w:ascii="Calibri" w:hAnsi="Calibri"/>
                <w:b/>
                <w:sz w:val="22"/>
              </w:rPr>
              <w:t>Estimate Δ (%)</w:t>
            </w:r>
          </w:p>
        </w:tc>
        <w:tc>
          <w:tcPr>
            <w:tcW w:type="dxa" w:w="1080"/>
          </w:tcPr>
          <w:p>
            <w:r>
              <w:rPr>
                <w:rFonts w:ascii="Calibri" w:hAnsi="Calibri"/>
                <w:b/>
                <w:sz w:val="22"/>
              </w:rPr>
              <w:t>Initial Guidance (Q1 Call, Apr 28)</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$3.460B</w:t>
            </w:r>
          </w:p>
        </w:tc>
        <w:tc>
          <w:tcPr>
            <w:tcW w:type="dxa" w:w="1080"/>
          </w:tcPr>
          <w:p>
            <w:r>
              <w:rPr>
                <w:rFonts w:ascii="Calibri" w:hAnsi="Calibri"/>
                <w:sz w:val="22"/>
              </w:rPr>
              <w:t>$3.468B</w:t>
            </w:r>
          </w:p>
        </w:tc>
        <w:tc>
          <w:tcPr>
            <w:tcW w:type="dxa" w:w="1080"/>
          </w:tcPr>
          <w:p>
            <w:r>
              <w:rPr>
                <w:rFonts w:ascii="Calibri" w:hAnsi="Calibri"/>
                <w:sz w:val="22"/>
              </w:rPr>
              <w:t>+0.2%</w:t>
            </w:r>
          </w:p>
        </w:tc>
        <w:tc>
          <w:tcPr>
            <w:tcW w:type="dxa" w:w="1080"/>
          </w:tcPr>
          <w:p>
            <w:r>
              <w:rPr>
                <w:rFonts w:ascii="Calibri" w:hAnsi="Calibri"/>
                <w:sz w:val="22"/>
              </w:rPr>
              <w:t>$3.45B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midpoint</w:t>
            </w:r>
          </w:p>
        </w:tc>
      </w:tr>
      <w:tr>
        <w:tc>
          <w:tcPr>
            <w:tcW w:type="dxa" w:w="1080"/>
          </w:tcPr>
          <w:p>
            <w:r>
              <w:rPr>
                <w:rFonts w:ascii="Calibri" w:hAnsi="Calibri"/>
                <w:sz w:val="22"/>
              </w:rPr>
              <w:t>Non-GAAP EPS — Q2 2026</w:t>
            </w:r>
          </w:p>
        </w:tc>
        <w:tc>
          <w:tcPr>
            <w:tcW w:type="dxa" w:w="1080"/>
          </w:tcPr>
          <w:p>
            <w:r>
              <w:rPr>
                <w:rFonts w:ascii="Calibri" w:hAnsi="Calibri"/>
                <w:sz w:val="22"/>
              </w:rPr>
              <w:t>$3.529</w:t>
            </w:r>
          </w:p>
        </w:tc>
        <w:tc>
          <w:tcPr>
            <w:tcW w:type="dxa" w:w="1080"/>
          </w:tcPr>
          <w:p>
            <w:r>
              <w:rPr>
                <w:rFonts w:ascii="Calibri" w:hAnsi="Calibri"/>
                <w:sz w:val="22"/>
              </w:rPr>
              <w:t>$3.545</w:t>
            </w:r>
          </w:p>
        </w:tc>
        <w:tc>
          <w:tcPr>
            <w:tcW w:type="dxa" w:w="1080"/>
          </w:tcPr>
          <w:p>
            <w:r>
              <w:rPr>
                <w:rFonts w:ascii="Calibri" w:hAnsi="Calibri"/>
                <w:sz w:val="22"/>
              </w:rPr>
              <w:t>+0.5%</w:t>
            </w:r>
          </w:p>
        </w:tc>
        <w:tc>
          <w:tcPr>
            <w:tcW w:type="dxa" w:w="1080"/>
          </w:tcPr>
          <w:p>
            <w:r>
              <w:rPr>
                <w:rFonts w:ascii="Calibri" w:hAnsi="Calibri"/>
                <w:sz w:val="22"/>
              </w:rPr>
              <w:t>$3.50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 above midpoint</w:t>
            </w:r>
          </w:p>
        </w:tc>
      </w:tr>
      <w:tr>
        <w:tc>
          <w:tcPr>
            <w:tcW w:type="dxa" w:w="1080"/>
          </w:tcPr>
          <w:p>
            <w:r>
              <w:rPr>
                <w:rFonts w:ascii="Calibri" w:hAnsi="Calibri"/>
                <w:sz w:val="22"/>
              </w:rPr>
              <w:t>Revenue — FY 2026</w:t>
            </w:r>
          </w:p>
        </w:tc>
        <w:tc>
          <w:tcPr>
            <w:tcW w:type="dxa" w:w="1080"/>
          </w:tcPr>
          <w:p>
            <w:r>
              <w:rPr>
                <w:rFonts w:ascii="Calibri" w:hAnsi="Calibri"/>
                <w:sz w:val="22"/>
              </w:rPr>
              <w:t>$14.035B</w:t>
            </w:r>
          </w:p>
        </w:tc>
        <w:tc>
          <w:tcPr>
            <w:tcW w:type="dxa" w:w="1080"/>
          </w:tcPr>
          <w:p>
            <w:r>
              <w:rPr>
                <w:rFonts w:ascii="Calibri" w:hAnsi="Calibri"/>
                <w:sz w:val="22"/>
              </w:rPr>
              <w:t>$14.137B</w:t>
            </w:r>
          </w:p>
        </w:tc>
        <w:tc>
          <w:tcPr>
            <w:tcW w:type="dxa" w:w="1080"/>
          </w:tcPr>
          <w:p>
            <w:r>
              <w:rPr>
                <w:rFonts w:ascii="Calibri" w:hAnsi="Calibri"/>
                <w:sz w:val="22"/>
              </w:rPr>
              <w:t>+0.7%</w:t>
            </w:r>
          </w:p>
        </w:tc>
        <w:tc>
          <w:tcPr>
            <w:tcW w:type="dxa" w:w="1080"/>
          </w:tcPr>
          <w:p>
            <w:r>
              <w:rPr>
                <w:rFonts w:ascii="Calibri" w:hAnsi="Calibri"/>
                <w:sz w:val="22"/>
              </w:rPr>
              <w:t>Double-digit growth YoY (implied ~$13.8B+)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~+2.4% above implied floor</w:t>
            </w:r>
          </w:p>
        </w:tc>
      </w:tr>
      <w:tr>
        <w:tc>
          <w:tcPr>
            <w:tcW w:type="dxa" w:w="1080"/>
          </w:tcPr>
          <w:p>
            <w:r>
              <w:rPr>
                <w:rFonts w:ascii="Calibri" w:hAnsi="Calibri"/>
                <w:sz w:val="22"/>
              </w:rPr>
              <w:t>Non-GAAP EPS — FY 2026</w:t>
            </w:r>
          </w:p>
        </w:tc>
        <w:tc>
          <w:tcPr>
            <w:tcW w:type="dxa" w:w="1080"/>
          </w:tcPr>
          <w:p>
            <w:r>
              <w:rPr>
                <w:rFonts w:ascii="Calibri" w:hAnsi="Calibri"/>
                <w:sz w:val="22"/>
              </w:rPr>
              <w:t>$14.747</w:t>
            </w:r>
          </w:p>
        </w:tc>
        <w:tc>
          <w:tcPr>
            <w:tcW w:type="dxa" w:w="1080"/>
          </w:tcPr>
          <w:p>
            <w:r>
              <w:rPr>
                <w:rFonts w:ascii="Calibri" w:hAnsi="Calibri"/>
                <w:sz w:val="22"/>
              </w:rPr>
              <w:t>$14.946</w:t>
            </w:r>
          </w:p>
        </w:tc>
        <w:tc>
          <w:tcPr>
            <w:tcW w:type="dxa" w:w="1080"/>
          </w:tcPr>
          <w:p>
            <w:r>
              <w:rPr>
                <w:rFonts w:ascii="Calibri" w:hAnsi="Calibri"/>
                <w:sz w:val="22"/>
              </w:rPr>
              <w:t>+1.4%</w:t>
            </w:r>
          </w:p>
        </w:tc>
        <w:tc>
          <w:tcPr>
            <w:tcW w:type="dxa" w:w="1080"/>
          </w:tcPr>
          <w:p>
            <w:r>
              <w:rPr>
                <w:rFonts w:ascii="Calibri" w:hAnsi="Calibri"/>
                <w:sz w:val="22"/>
              </w:rPr>
              <w:t>Within long-term model</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above model floor</w:t>
            </w:r>
          </w:p>
        </w:tc>
      </w:tr>
    </w:tbl>
    <w:p>
      <w:r>
        <w:rPr>
          <w:rFonts w:ascii="Calibri" w:hAnsi="Calibri"/>
          <w:color w:val="525866"/>
          <w:sz w:val="22"/>
        </w:rPr>
        <w:t>Estimates have drifted modestly higher since the Q1 print, consistent with management’s incrementally bullish conference commentary, but the revisions are small — suggesting the Street is not yet fully pricing in the upside scenario on data center or Industrial &amp; IoT acceleration. The FY 2026 revenue estimate of $14.137B implies ~+2.4% above management’s “double-digit growth” floor, leaving room for further upward revision if Q2 execution is strong.</w:t>
      </w:r>
      <w:r>
        <w:rPr>
          <w:rFonts w:ascii="Calibri" w:hAnsi="Calibri"/>
          <w:i/>
          <w:color w:val="525866"/>
          <w:sz w:val="22"/>
        </w:rPr>
        <w:t xml:space="preserv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The +25% post-Q1 surge was driven almost entirely by multiple re-rating on the data center disclosure and strong Q2 guide — but the stock has since given back roughly half those gains as the SOX sold off sharply in July, leaving NXPI trading at ~16x NTM P/E vs. a post-Q1 peak near 20x. The multiple compression is macro/sector-driven rather than fundamental, creating a potentially attractive setup if Q2 execution is clean.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NXPI vs. SOXX vs. SPY — Indexed to 100 at Q1 2026 Earnings (April 28, 2026). NXPI surged ~+27% in the first two trading days post-earnings, peaked near +45% in late May, then retraced to +16% as the SOX sold off sharply in July. As of July 28, NXPI is +16%, SOXX +18%, SPY +4% since the Q1 print. Source: Stock Price Data.</w:t>
      </w:r>
    </w:p>
    <w:p>
      <w:r>
        <w:rPr>
          <w:rFonts w:ascii="Calibri" w:hAnsi="Calibri"/>
          <w:b/>
          <w:color w:val="525866"/>
          <w:sz w:val="22"/>
        </w:rPr>
        <w:t xml:space="preserve">Performance Decomposition: </w:t>
      </w:r>
      <w:r>
        <w:rPr>
          <w:rFonts w:ascii="Calibri" w:hAnsi="Calibri"/>
          <w:color w:val="525866"/>
          <w:sz w:val="22"/>
        </w:rPr>
        <w:t>Over the 3-month window since Q1 earnings, NXPI is +9.7% vs. SOXX +17.7% and SPY +3.8% (indexed). The 12-month return of +19.3% has been driven almost entirely by earnings growth rather than multiple expansion — NTM EV/EBITDA has actually compressed from ~13.1x to ~12.5x over the past year, while NTM P/E has compressed from ~21.7x to ~16.4x. The 1-month selloff (-10.4%) mirrors the SOX decline and appears sector-driven (CXMT IPO, AI capex sustainability concerns) rather than NXPI-specific. Current NTM P/E of ~16.4x is at the low end of the post-inventory-correction range, providing a valuation cushion heading into the print.</w:t>
      </w:r>
    </w:p>
    <w:p>
      <w:r>
        <w:br w:type="page"/>
      </w:r>
    </w:p>
    <w:p>
      <w:pPr>
        <w:pStyle w:val="Heading2"/>
      </w:pPr>
      <w:r>
        <w:rPr>
          <w:rFonts w:ascii="Calibri" w:hAnsi="Calibri"/>
          <w:b/>
          <w:color w:val="3B4259"/>
          <w:sz w:val="28"/>
        </w:rPr>
        <w:t>6. Peer Commentary &amp; Current-Quarter Read-Through (Last 60 Days, Q2 2026 Focus)</w:t>
      </w:r>
    </w:p>
    <w:p>
      <w:r>
        <w:rPr>
          <w:rFonts w:ascii="Calibri" w:hAnsi="Calibri"/>
          <w:b/>
          <w:color w:val="525866"/>
          <w:sz w:val="22"/>
        </w:rPr>
        <w:t xml:space="preserve">Key Takeaway: </w:t>
      </w:r>
      <w:r>
        <w:rPr>
          <w:rFonts w:ascii="Calibri" w:hAnsi="Calibri"/>
          <w:color w:val="525866"/>
          <w:sz w:val="22"/>
        </w:rPr>
        <w:t>Peer commentary from the past 60 days is uniformly positive for NXPI’s Q2 setup: automotive demand accelerated through the quarter (led by China EVs), industrial grew 20-34% YoY across peers, channel inventory is lean-to-below-target, book-to-bill is well above 1, and pricing is firming with selective increases being implemented. Texas Instruments’ Q2 beat and STMicro’s Q2 beat both provide strong direct read-throughs to NXPI’s core end markets.</w:t>
      </w:r>
    </w:p>
    <w:p>
      <w:r>
        <w:rPr>
          <w:rFonts w:ascii="Calibri" w:hAnsi="Calibri"/>
          <w:b/>
          <w:color w:val="525866"/>
          <w:sz w:val="22"/>
        </w:rPr>
        <w:t xml:space="preserve">Note: </w:t>
      </w:r>
      <w:r>
        <w:rPr>
          <w:rFonts w:ascii="Calibri" w:hAnsi="Calibri"/>
          <w:i/>
          <w:color w:val="525866"/>
          <w:sz w:val="22"/>
        </w:rPr>
        <w:t>All commentary below is limited to the past 60 days (May 27 – July 27, 2026) and addresses the just-ended June-quarter 2026 (NXPI’s current reporting quarter). Prior-quarter retrospective commentary and September-quarter-or-later outlook have been excluded.</w:t>
      </w:r>
    </w:p>
    <w:p>
      <w:pPr>
        <w:pStyle w:val="Heading3"/>
      </w:pPr>
      <w:r>
        <w:rPr>
          <w:rFonts w:ascii="Calibri" w:hAnsi="Calibri"/>
          <w:b/>
          <w:color w:val="3B4259"/>
          <w:sz w:val="24"/>
        </w:rPr>
        <w:t>Texas Instruments (TXN) — Q2 2026 Earnings (July 22, 2026)</w:t>
      </w:r>
    </w:p>
    <w:p>
      <w:r>
        <w:rPr>
          <w:rFonts w:ascii="Calibri" w:hAnsi="Calibri"/>
          <w:b/>
          <w:color w:val="525866"/>
          <w:sz w:val="22"/>
        </w:rPr>
        <w:t xml:space="preserve">Read-Through: </w:t>
      </w:r>
      <w:r>
        <w:rPr>
          <w:rFonts w:ascii="Calibri" w:hAnsi="Calibri"/>
          <w:color w:val="525866"/>
          <w:sz w:val="22"/>
        </w:rPr>
        <w:t>Strongly positive. TXN reported Q2 revenue of $5.5B (+23% YoY, +13% QoQ), with analog up 26% YoY and embedded up 16% YoY — both directly relevant to NXPI’s mixed-signal and MCU portfolio.</w:t>
      </w:r>
    </w:p>
    <w:p>
      <w:pPr>
        <w:pStyle w:val="ListBullet"/>
        <w:ind w:left="360" w:hanging="360"/>
      </w:pPr>
      <w:r>
        <w:rPr>
          <w:rFonts w:ascii="Calibri" w:hAnsi="Calibri"/>
          <w:b/>
          <w:color w:val="525866"/>
          <w:sz w:val="22"/>
        </w:rPr>
        <w:t xml:space="preserve">Automotive: </w:t>
      </w:r>
      <w:r>
        <w:rPr>
          <w:rFonts w:ascii="Calibri" w:hAnsi="Calibri"/>
          <w:color w:val="525866"/>
          <w:sz w:val="22"/>
        </w:rPr>
        <w:t>"Increased mid-teens year on year and increased upper single digits sequentially." Acceleration "developed throughout the quarter" and was "led by China," driven by EVs and hybrids. Automotive customers had "taken their inventory to very low levels" and are now in an "unsustainable" situation — implying a restocking tailwind not yet embedded in guidance. TXN characterized this as "the start of a cycle that is very, very broad."</w:t>
      </w:r>
    </w:p>
    <w:p>
      <w:pPr>
        <w:pStyle w:val="ListBullet"/>
        <w:ind w:left="360" w:hanging="360"/>
      </w:pPr>
      <w:r>
        <w:rPr>
          <w:rFonts w:ascii="Calibri" w:hAnsi="Calibri"/>
          <w:b/>
          <w:color w:val="525866"/>
          <w:sz w:val="22"/>
        </w:rPr>
        <w:t xml:space="preserve">Industrial: </w:t>
      </w:r>
      <w:r>
        <w:rPr>
          <w:rFonts w:ascii="Calibri" w:hAnsi="Calibri"/>
          <w:color w:val="525866"/>
          <w:sz w:val="22"/>
        </w:rPr>
        <w:t>"Increased around 30% year on year and was up about 10% sequentially, growing broadly across sectors and regions." Energy infrastructure and test &amp; measurement were the fastest-growing sub-sectors. Robotics and aerospace &amp; defense also grew at above-average rates. Critically: "We are seeing no more depletion of inventory. On top of it, you see a new generation of systems with higher secular growth."</w:t>
      </w:r>
    </w:p>
    <w:p>
      <w:pPr>
        <w:pStyle w:val="ListBullet"/>
        <w:ind w:left="360" w:hanging="360"/>
      </w:pPr>
      <w:r>
        <w:rPr>
          <w:rFonts w:ascii="Calibri" w:hAnsi="Calibri"/>
          <w:b/>
          <w:color w:val="525866"/>
          <w:sz w:val="22"/>
        </w:rPr>
        <w:t xml:space="preserve">Pricing: </w:t>
      </w:r>
      <w:r>
        <w:rPr>
          <w:rFonts w:ascii="Calibri" w:hAnsi="Calibri"/>
          <w:color w:val="525866"/>
          <w:sz w:val="22"/>
        </w:rPr>
        <w:t>"Pricing was stable in the first half" (flat, vs. typical -2% annual decline). TXN "started executing price increases" in Q2, focused on analog and embedded segments where lead times are stretching. This directly validates NXPI’s selective pricing strategy disclosed at TD Cowen.</w:t>
      </w:r>
    </w:p>
    <w:p>
      <w:pPr>
        <w:pStyle w:val="ListBullet"/>
        <w:ind w:left="360" w:hanging="360"/>
      </w:pPr>
      <w:r>
        <w:rPr>
          <w:rFonts w:ascii="Calibri" w:hAnsi="Calibri"/>
          <w:b/>
          <w:color w:val="525866"/>
          <w:sz w:val="22"/>
        </w:rPr>
        <w:t xml:space="preserve">Inventory/Bookings: </w:t>
      </w:r>
      <w:r>
        <w:rPr>
          <w:rFonts w:ascii="Calibri" w:hAnsi="Calibri"/>
          <w:color w:val="525866"/>
          <w:sz w:val="22"/>
        </w:rPr>
        <w:t>"Backlog build throughout the quarter, both in orders for immediate shipment and backlog further out in time." Lead times up "a couple of weeks" due to growing demand. TXN’s own inventory days fell 13 days sequentially to 196 days.</w:t>
      </w:r>
    </w:p>
    <w:p>
      <w:pPr>
        <w:pStyle w:val="Heading3"/>
      </w:pPr>
      <w:r>
        <w:rPr>
          <w:rFonts w:ascii="Calibri" w:hAnsi="Calibri"/>
          <w:b/>
          <w:color w:val="3B4259"/>
          <w:sz w:val="24"/>
        </w:rPr>
        <w:t>STMicroelectronics (STM) — Q2 2026 Earnings (July 23, 2026)</w:t>
      </w:r>
    </w:p>
    <w:p>
      <w:r>
        <w:rPr>
          <w:rFonts w:ascii="Calibri" w:hAnsi="Calibri"/>
          <w:b/>
          <w:color w:val="525866"/>
          <w:sz w:val="22"/>
        </w:rPr>
        <w:t xml:space="preserve">Read-Through: </w:t>
      </w:r>
      <w:r>
        <w:rPr>
          <w:rFonts w:ascii="Calibri" w:hAnsi="Calibri"/>
          <w:color w:val="525866"/>
          <w:sz w:val="22"/>
        </w:rPr>
        <w:t>Strongly positive. STM reported Q2 net revenues of $3.449B, above the midpoint of guidance, with non-GAAP gross margin of 35.2% in line with guidance. Book-to-bill was "close to two" overall, and "significantly above two" in communication equipment and computer/peripherals.</w:t>
      </w:r>
    </w:p>
    <w:p>
      <w:pPr>
        <w:pStyle w:val="ListBullet"/>
        <w:ind w:left="360" w:hanging="360"/>
      </w:pPr>
      <w:r>
        <w:rPr>
          <w:rFonts w:ascii="Calibri" w:hAnsi="Calibri"/>
          <w:b/>
          <w:color w:val="525866"/>
          <w:sz w:val="22"/>
        </w:rPr>
        <w:t xml:space="preserve">Automotive: </w:t>
      </w:r>
      <w:r>
        <w:rPr>
          <w:rFonts w:ascii="Calibri" w:hAnsi="Calibri"/>
          <w:color w:val="525866"/>
          <w:sz w:val="22"/>
        </w:rPr>
        <w:t>"Revenues came in better than expected, increasing 14% sequentially and 16% year over year." Growth driven by application-specific ICs, sensors, electrical powertrain, and ADAS. Silicon carbide returned to YoY growth (low teens %) with mid-30s% QoQ growth and book-to-bill well above 1. Design momentum "continued to build across multiple OEM and Tier 1 ecosystems."</w:t>
      </w:r>
    </w:p>
    <w:p>
      <w:pPr>
        <w:pStyle w:val="ListBullet"/>
        <w:ind w:left="360" w:hanging="360"/>
      </w:pPr>
      <w:r>
        <w:rPr>
          <w:rFonts w:ascii="Calibri" w:hAnsi="Calibri"/>
          <w:b/>
          <w:color w:val="525866"/>
          <w:sz w:val="22"/>
        </w:rPr>
        <w:t xml:space="preserve">Industrial: </w:t>
      </w:r>
      <w:r>
        <w:rPr>
          <w:rFonts w:ascii="Calibri" w:hAnsi="Calibri"/>
          <w:color w:val="525866"/>
          <w:sz w:val="22"/>
        </w:rPr>
        <w:t>"Improved 20% sequentially and 34% year over year." Driven by general-purpose MCUs, analog, and power conversion. STM highlighted "physical AI" as a key demand driver: "intelligent sensing, real-time control, and efficient power management are increasingly critical" — directly aligned with NXPI’s edge AI positioning.</w:t>
      </w:r>
    </w:p>
    <w:p>
      <w:pPr>
        <w:pStyle w:val="ListBullet"/>
        <w:ind w:left="360" w:hanging="360"/>
      </w:pPr>
      <w:r>
        <w:rPr>
          <w:rFonts w:ascii="Calibri" w:hAnsi="Calibri"/>
          <w:b/>
          <w:color w:val="525866"/>
          <w:sz w:val="22"/>
        </w:rPr>
        <w:t xml:space="preserve">Channel Inventory: </w:t>
      </w:r>
      <w:r>
        <w:rPr>
          <w:rFonts w:ascii="Calibri" w:hAnsi="Calibri"/>
          <w:color w:val="525866"/>
          <w:sz w:val="22"/>
        </w:rPr>
        <w:t>"Inventory in distribution further decreased and is now below our standard target." Days sales of inventory fell to 126 days from 140 days QoQ and 166 days YoY — a lean channel that supports continued order flow.</w:t>
      </w:r>
    </w:p>
    <w:p>
      <w:pPr>
        <w:pStyle w:val="ListBullet"/>
        <w:ind w:left="360" w:hanging="360"/>
      </w:pPr>
      <w:r>
        <w:rPr>
          <w:rFonts w:ascii="Calibri" w:hAnsi="Calibri"/>
          <w:b/>
          <w:color w:val="525866"/>
          <w:sz w:val="22"/>
        </w:rPr>
        <w:t xml:space="preserve">Bookings/Visibility: </w:t>
      </w:r>
      <w:r>
        <w:rPr>
          <w:rFonts w:ascii="Calibri" w:hAnsi="Calibri"/>
          <w:color w:val="525866"/>
          <w:sz w:val="22"/>
        </w:rPr>
        <w:t>"More than 50% of bookings received in Q2 were for next year." Total backlog represents "4.5 to 5 quarters of Q2 average revenue" — a significant improvement in visibility. "Signs of tight supply in several product categories."</w:t>
      </w:r>
    </w:p>
    <w:p>
      <w:pPr>
        <w:pStyle w:val="ListBullet"/>
        <w:ind w:left="360" w:hanging="360"/>
      </w:pPr>
      <w:r>
        <w:rPr>
          <w:rFonts w:ascii="Calibri" w:hAnsi="Calibri"/>
          <w:b/>
          <w:color w:val="525866"/>
          <w:sz w:val="22"/>
        </w:rPr>
        <w:t xml:space="preserve">Pricing: </w:t>
      </w:r>
      <w:r>
        <w:rPr>
          <w:rFonts w:ascii="Calibri" w:hAnsi="Calibri"/>
          <w:color w:val="525866"/>
          <w:sz w:val="22"/>
        </w:rPr>
        <w:t>Input cost increases "more than offset" by price increases on selected products, with the two impacts "more or less offsetting each other" at the gross margin level — consistent with NXPI’s stated strategy.</w:t>
      </w:r>
    </w:p>
    <w:p>
      <w:pPr>
        <w:pStyle w:val="Heading3"/>
      </w:pPr>
      <w:r>
        <w:rPr>
          <w:rFonts w:ascii="Calibri" w:hAnsi="Calibri"/>
          <w:b/>
          <w:color w:val="3B4259"/>
          <w:sz w:val="24"/>
        </w:rPr>
        <w:t>Microchip Technology (MCHP) — Conference Commentary (May–June 2026)</w:t>
      </w:r>
    </w:p>
    <w:p>
      <w:r>
        <w:rPr>
          <w:rFonts w:ascii="Calibri" w:hAnsi="Calibri"/>
          <w:b/>
          <w:color w:val="525866"/>
          <w:sz w:val="22"/>
        </w:rPr>
        <w:t xml:space="preserve">Read-Through: </w:t>
      </w:r>
      <w:r>
        <w:rPr>
          <w:rFonts w:ascii="Calibri" w:hAnsi="Calibri"/>
          <w:color w:val="525866"/>
          <w:sz w:val="22"/>
        </w:rPr>
        <w:t>Moderately positive with nuance. MCHP’s commentary at the TD Cowen (May 28), BofA (June 2), Evercore (June 3), and Mizuho (June 9) conferences addressed the June-quarter demand environment.</w:t>
      </w:r>
    </w:p>
    <w:p>
      <w:pPr>
        <w:pStyle w:val="ListBullet"/>
        <w:ind w:left="360" w:hanging="360"/>
      </w:pPr>
      <w:r>
        <w:rPr>
          <w:rFonts w:ascii="Calibri" w:hAnsi="Calibri"/>
          <w:b/>
          <w:color w:val="525866"/>
          <w:sz w:val="22"/>
        </w:rPr>
        <w:t xml:space="preserve">Inventory: </w:t>
      </w:r>
      <w:r>
        <w:rPr>
          <w:rFonts w:ascii="Calibri" w:hAnsi="Calibri"/>
          <w:color w:val="525866"/>
          <w:sz w:val="22"/>
        </w:rPr>
        <w:t>"Distribution is largely cleared out at 26 days" — running lean. "Automotive customers are not rebuilding inventory, industrial customers are not rebuilding inventory." Customer accounts returning "at an extremely fast rate, like thousands literally coming back" as they deplete inventory.</w:t>
      </w:r>
    </w:p>
    <w:p>
      <w:pPr>
        <w:pStyle w:val="ListBullet"/>
        <w:ind w:left="360" w:hanging="360"/>
      </w:pPr>
      <w:r>
        <w:rPr>
          <w:rFonts w:ascii="Calibri" w:hAnsi="Calibri"/>
          <w:b/>
          <w:color w:val="525866"/>
          <w:sz w:val="22"/>
        </w:rPr>
        <w:t xml:space="preserve">Automotive: </w:t>
      </w:r>
      <w:r>
        <w:rPr>
          <w:rFonts w:ascii="Calibri" w:hAnsi="Calibri"/>
          <w:color w:val="525866"/>
          <w:sz w:val="22"/>
        </w:rPr>
        <w:t>"Seeing a lot of auto growth right now" driven by inventory running out and new design wins in USB, Ethernet, and MOS bus. Unit growth is "low single digits" but content growth is the driver.</w:t>
      </w:r>
    </w:p>
    <w:p>
      <w:pPr>
        <w:pStyle w:val="ListBullet"/>
        <w:ind w:left="360" w:hanging="360"/>
      </w:pPr>
      <w:r>
        <w:rPr>
          <w:rFonts w:ascii="Calibri" w:hAnsi="Calibri"/>
          <w:b/>
          <w:color w:val="525866"/>
          <w:sz w:val="22"/>
        </w:rPr>
        <w:t xml:space="preserve">Industrial: </w:t>
      </w:r>
      <w:r>
        <w:rPr>
          <w:rFonts w:ascii="Calibri" w:hAnsi="Calibri"/>
          <w:color w:val="525866"/>
          <w:sz w:val="22"/>
        </w:rPr>
        <w:t>"Innovation-driven growth" in industrial, fueled by onshoring and automation: "factories being onshored are more highly automated, there’s a lot more robotics in them." Data center also providing a tailwind.</w:t>
      </w:r>
    </w:p>
    <w:p>
      <w:pPr>
        <w:pStyle w:val="ListBullet"/>
        <w:ind w:left="360" w:hanging="360"/>
      </w:pPr>
      <w:r>
        <w:rPr>
          <w:rFonts w:ascii="Calibri" w:hAnsi="Calibri"/>
          <w:b/>
          <w:color w:val="525866"/>
          <w:sz w:val="22"/>
        </w:rPr>
        <w:t xml:space="preserve">Pricing: </w:t>
      </w:r>
      <w:r>
        <w:rPr>
          <w:rFonts w:ascii="Calibri" w:hAnsi="Calibri"/>
          <w:color w:val="525866"/>
          <w:sz w:val="22"/>
        </w:rPr>
        <w:t>Decision made in late May/early June to "increase prices to take the cost increase we’re incurring." Impact expected in September and December quarters — Q2 guidance unaffected. This is a slightly later timeline than NXPI’s, but confirms the industry-wide pricing inflection.</w:t>
      </w:r>
    </w:p>
    <w:p>
      <w:pPr>
        <w:pStyle w:val="ListBullet"/>
        <w:ind w:left="360" w:hanging="360"/>
      </w:pPr>
      <w:r>
        <w:rPr>
          <w:rFonts w:ascii="Calibri" w:hAnsi="Calibri"/>
          <w:b/>
          <w:color w:val="525866"/>
          <w:sz w:val="22"/>
        </w:rPr>
        <w:t xml:space="preserve">Caveat: </w:t>
      </w:r>
      <w:r>
        <w:rPr>
          <w:rFonts w:ascii="Calibri" w:hAnsi="Calibri"/>
          <w:color w:val="525866"/>
          <w:sz w:val="22"/>
        </w:rPr>
        <w:t>MCHP noted that "inventory depletion driven growth pretty much comes to an end in the next quarter or so" — suggesting the easy comp tailwind is fading, though this is less relevant for NXPI given its company-specific secular growth drivers.</w:t>
      </w:r>
    </w:p>
    <w:p>
      <w:pPr>
        <w:pStyle w:val="Heading3"/>
      </w:pPr>
      <w:r>
        <w:rPr>
          <w:rFonts w:ascii="Calibri" w:hAnsi="Calibri"/>
          <w:b/>
          <w:color w:val="3B4259"/>
          <w:sz w:val="24"/>
        </w:rPr>
        <w:t>ON Semiconductor (ON) — BofA Conference (June 3, 2026)</w:t>
      </w:r>
    </w:p>
    <w:p>
      <w:r>
        <w:rPr>
          <w:rFonts w:ascii="Calibri" w:hAnsi="Calibri"/>
          <w:b/>
          <w:color w:val="525866"/>
          <w:sz w:val="22"/>
        </w:rPr>
        <w:t xml:space="preserve">Read-Through: </w:t>
      </w:r>
      <w:r>
        <w:rPr>
          <w:rFonts w:ascii="Calibri" w:hAnsi="Calibri"/>
          <w:color w:val="525866"/>
          <w:sz w:val="22"/>
        </w:rPr>
        <w:t>Positive on automotive content and industrial AI tailwinds.</w:t>
      </w:r>
    </w:p>
    <w:p>
      <w:pPr>
        <w:pStyle w:val="ListBullet"/>
        <w:ind w:left="360" w:hanging="360"/>
      </w:pPr>
      <w:r>
        <w:rPr>
          <w:rFonts w:ascii="Calibri" w:hAnsi="Calibri"/>
          <w:b/>
          <w:color w:val="525866"/>
          <w:sz w:val="22"/>
        </w:rPr>
        <w:t xml:space="preserve">Automotive: </w:t>
      </w:r>
      <w:r>
        <w:rPr>
          <w:rFonts w:ascii="Calibri" w:hAnsi="Calibri"/>
          <w:color w:val="525866"/>
          <w:sz w:val="22"/>
        </w:rPr>
        <w:t>"Content for us has outgrown SAAR by high single digit consistently." China EV market share growing to "over 50% this year." Transitioned from under-shipping to burn inventory to "ship to end demand now."</w:t>
      </w:r>
    </w:p>
    <w:p>
      <w:pPr>
        <w:pStyle w:val="ListBullet"/>
        <w:ind w:left="360" w:hanging="360"/>
      </w:pPr>
      <w:r>
        <w:rPr>
          <w:rFonts w:ascii="Calibri" w:hAnsi="Calibri"/>
          <w:b/>
          <w:color w:val="525866"/>
          <w:sz w:val="22"/>
        </w:rPr>
        <w:t xml:space="preserve">Industrial: </w:t>
      </w:r>
      <w:r>
        <w:rPr>
          <w:rFonts w:ascii="Calibri" w:hAnsi="Calibri"/>
          <w:color w:val="525866"/>
          <w:sz w:val="22"/>
        </w:rPr>
        <w:t>"PMI has been hovering in 49-50, PMI start clicking above 50." Industrial benefiting from the "AI halo effect" — energy storage systems, microgrids supporting data centers, and AI data center business itself all doing well.</w:t>
      </w:r>
    </w:p>
    <w:p>
      <w:pPr>
        <w:pStyle w:val="ListBullet"/>
        <w:ind w:left="360" w:hanging="360"/>
      </w:pPr>
      <w:r>
        <w:rPr>
          <w:rFonts w:ascii="Calibri" w:hAnsi="Calibri"/>
          <w:b/>
          <w:color w:val="525866"/>
          <w:sz w:val="22"/>
        </w:rPr>
        <w:t xml:space="preserve">Pricing: </w:t>
      </w:r>
      <w:r>
        <w:rPr>
          <w:rFonts w:ascii="Calibri" w:hAnsi="Calibri"/>
          <w:color w:val="525866"/>
          <w:sz w:val="22"/>
        </w:rPr>
        <w:t>"Raised pricing effective April 1" to offset higher input costs.</w:t>
      </w:r>
    </w:p>
    <w:p>
      <w:pPr>
        <w:pStyle w:val="Heading3"/>
      </w:pPr>
      <w:r>
        <w:rPr>
          <w:rFonts w:ascii="Calibri" w:hAnsi="Calibri"/>
          <w:b/>
          <w:color w:val="3B4259"/>
          <w:sz w:val="24"/>
        </w:rPr>
        <w:t>Analog Devices (ADI) — BofA Conference (June 2, 2026)</w:t>
      </w:r>
    </w:p>
    <w:p>
      <w:r>
        <w:rPr>
          <w:rFonts w:ascii="Calibri" w:hAnsi="Calibri"/>
          <w:b/>
          <w:color w:val="525866"/>
          <w:sz w:val="22"/>
        </w:rPr>
        <w:t xml:space="preserve">Read-Through: </w:t>
      </w:r>
      <w:r>
        <w:rPr>
          <w:rFonts w:ascii="Calibri" w:hAnsi="Calibri"/>
          <w:color w:val="525866"/>
          <w:sz w:val="22"/>
        </w:rPr>
        <w:t>Positive, particularly on automotive and industrial channel dynamics.</w:t>
      </w:r>
    </w:p>
    <w:p>
      <w:pPr>
        <w:pStyle w:val="ListBullet"/>
        <w:ind w:left="360" w:hanging="360"/>
      </w:pPr>
      <w:r>
        <w:rPr>
          <w:rFonts w:ascii="Calibri" w:hAnsi="Calibri"/>
          <w:b/>
          <w:color w:val="525866"/>
          <w:sz w:val="22"/>
        </w:rPr>
        <w:t xml:space="preserve">Automotive: </w:t>
      </w:r>
      <w:r>
        <w:rPr>
          <w:rFonts w:ascii="Calibri" w:hAnsi="Calibri"/>
          <w:color w:val="525866"/>
          <w:sz w:val="22"/>
        </w:rPr>
        <w:t>"Aggressive acceleration in orders in the back half of the last month of our last quarter." Record revenues in Europe and Japan auto. "First year-over-year growth quarter in BMS in 2 years." China auto "running very strong again this year" with EV penetration driving content growth.</w:t>
      </w:r>
    </w:p>
    <w:p>
      <w:pPr>
        <w:pStyle w:val="ListBullet"/>
        <w:ind w:left="360" w:hanging="360"/>
      </w:pPr>
      <w:r>
        <w:rPr>
          <w:rFonts w:ascii="Calibri" w:hAnsi="Calibri"/>
          <w:b/>
          <w:color w:val="525866"/>
          <w:sz w:val="22"/>
        </w:rPr>
        <w:t xml:space="preserve">Industrial Channel: </w:t>
      </w:r>
      <w:r>
        <w:rPr>
          <w:rFonts w:ascii="Calibri" w:hAnsi="Calibri"/>
          <w:color w:val="525866"/>
          <w:sz w:val="22"/>
        </w:rPr>
        <w:t>"Very lean" — running 6-7 weeks vs. historical norms, below prior peaks. "60% of our industrial business is still approximately 20% below its prior peaks" — significant room to run. Getting "more orders out a quarter beyond where we would historically have had them as things appear to be getting tighter broadly across Analog."</w:t>
      </w:r>
    </w:p>
    <w:p>
      <w:pPr>
        <w:pStyle w:val="ListBullet"/>
        <w:ind w:left="360" w:hanging="360"/>
      </w:pPr>
      <w:r>
        <w:rPr>
          <w:rFonts w:ascii="Calibri" w:hAnsi="Calibri"/>
          <w:b/>
          <w:color w:val="525866"/>
          <w:sz w:val="22"/>
        </w:rPr>
        <w:t xml:space="preserve">Pricing: </w:t>
      </w:r>
      <w:r>
        <w:rPr>
          <w:rFonts w:ascii="Calibri" w:hAnsi="Calibri"/>
          <w:color w:val="525866"/>
          <w:sz w:val="22"/>
        </w:rPr>
        <w:t>Executed "first big price increase in ’26" to recover inflationary costs — not because of shortages, but cost-driven.</w:t>
      </w:r>
    </w:p>
    <w:p>
      <w:pPr>
        <w:pStyle w:val="Heading3"/>
      </w:pPr>
      <w:r>
        <w:rPr>
          <w:rFonts w:ascii="Calibri" w:hAnsi="Calibri"/>
          <w:b/>
          <w:color w:val="3B4259"/>
          <w:sz w:val="24"/>
        </w:rPr>
        <w:t>STMicroelectronics (STM) — BNP Paribas Exane CEO Conference (June 2, 2026)</w:t>
      </w:r>
    </w:p>
    <w:p>
      <w:r>
        <w:rPr>
          <w:rFonts w:ascii="Calibri" w:hAnsi="Calibri"/>
          <w:b/>
          <w:color w:val="525866"/>
          <w:sz w:val="22"/>
        </w:rPr>
        <w:t xml:space="preserve">Read-Through: </w:t>
      </w:r>
      <w:r>
        <w:rPr>
          <w:rFonts w:ascii="Calibri" w:hAnsi="Calibri"/>
          <w:color w:val="525866"/>
          <w:sz w:val="22"/>
        </w:rPr>
        <w:t>Positive on industrial and China; nuanced on SiC pricing.</w:t>
      </w:r>
    </w:p>
    <w:p>
      <w:pPr>
        <w:pStyle w:val="ListBullet"/>
        <w:ind w:left="360" w:hanging="360"/>
      </w:pPr>
      <w:r>
        <w:rPr>
          <w:rFonts w:ascii="Calibri" w:hAnsi="Calibri"/>
          <w:b/>
          <w:color w:val="525866"/>
          <w:sz w:val="22"/>
        </w:rPr>
        <w:t xml:space="preserve">Industrial: </w:t>
      </w:r>
      <w:r>
        <w:rPr>
          <w:rFonts w:ascii="Calibri" w:hAnsi="Calibri"/>
          <w:color w:val="525866"/>
          <w:sz w:val="22"/>
        </w:rPr>
        <w:t>"Infrastructure, energy, renewable energy, power conversion grids — really doing well." Expects to "grow a solid 30%" in industrial for the year. China industrial described as "very promising."</w:t>
      </w:r>
    </w:p>
    <w:p>
      <w:pPr>
        <w:pStyle w:val="ListBullet"/>
        <w:ind w:left="360" w:hanging="360"/>
      </w:pPr>
      <w:r>
        <w:rPr>
          <w:rFonts w:ascii="Calibri" w:hAnsi="Calibri"/>
          <w:b/>
          <w:color w:val="525866"/>
          <w:sz w:val="22"/>
        </w:rPr>
        <w:t xml:space="preserve">Automotive: </w:t>
      </w:r>
      <w:r>
        <w:rPr>
          <w:rFonts w:ascii="Calibri" w:hAnsi="Calibri"/>
          <w:color w:val="525866"/>
          <w:sz w:val="22"/>
        </w:rPr>
        <w:t>"Europe is one of the good drivers" due to electrification. China "doing well for us." Expects to "grow high single digit to low double digit on automotive" for the year.</w:t>
      </w:r>
    </w:p>
    <w:p>
      <w:pPr>
        <w:pStyle w:val="ListBullet"/>
        <w:ind w:left="360" w:hanging="360"/>
      </w:pPr>
      <w:r>
        <w:rPr>
          <w:rFonts w:ascii="Calibri" w:hAnsi="Calibri"/>
          <w:b/>
          <w:color w:val="525866"/>
          <w:sz w:val="22"/>
        </w:rPr>
        <w:t xml:space="preserve">SiC Caveat: </w:t>
      </w:r>
      <w:r>
        <w:rPr>
          <w:rFonts w:ascii="Calibri" w:hAnsi="Calibri"/>
          <w:color w:val="525866"/>
          <w:sz w:val="22"/>
        </w:rPr>
        <w:t>Silicon carbide market in China is "really challenging" with price pressure from vertically integrated competitors (BYD, Weiwei). Less directly relevant to NXPI but worth monitoring for broader China auto pricing dynamics.</w:t>
      </w:r>
    </w:p>
    <w:p>
      <w:pPr>
        <w:pStyle w:val="Heading3"/>
      </w:pPr>
      <w:r>
        <w:rPr>
          <w:rFonts w:ascii="Calibri" w:hAnsi="Calibri"/>
          <w:b/>
          <w:color w:val="3B4259"/>
          <w:sz w:val="24"/>
        </w:rPr>
        <w:t>TE Connectivity (TEL) — Q3 FY2026 Earnings (July 22, 2026)</w:t>
      </w:r>
    </w:p>
    <w:p>
      <w:r>
        <w:rPr>
          <w:rFonts w:ascii="Calibri" w:hAnsi="Calibri"/>
          <w:b/>
          <w:color w:val="525866"/>
          <w:sz w:val="22"/>
        </w:rPr>
        <w:t xml:space="preserve">Read-Through: </w:t>
      </w:r>
      <w:r>
        <w:rPr>
          <w:rFonts w:ascii="Calibri" w:hAnsi="Calibri"/>
          <w:color w:val="525866"/>
          <w:sz w:val="22"/>
        </w:rPr>
        <w:t>Positive on automotive and AI/grid infrastructure demand.</w:t>
      </w:r>
    </w:p>
    <w:p>
      <w:pPr>
        <w:pStyle w:val="ListBullet"/>
        <w:ind w:left="360" w:hanging="360"/>
      </w:pPr>
      <w:r>
        <w:rPr>
          <w:rFonts w:ascii="Calibri" w:hAnsi="Calibri"/>
          <w:b/>
          <w:color w:val="525866"/>
          <w:sz w:val="22"/>
        </w:rPr>
        <w:t xml:space="preserve">Results: </w:t>
      </w:r>
      <w:r>
        <w:rPr>
          <w:rFonts w:ascii="Calibri" w:hAnsi="Calibri"/>
          <w:color w:val="525866"/>
          <w:sz w:val="22"/>
        </w:rPr>
        <w:t>Q3 EPS of $2.94 (beat $2.84 consensus), revenue of $5.16B (beat $5.0B consensus). Operating margins of 22%, up 90bps YoY. Book-to-bill of 1.1x.</w:t>
      </w:r>
    </w:p>
    <w:p>
      <w:pPr>
        <w:pStyle w:val="ListBullet"/>
        <w:ind w:left="360" w:hanging="360"/>
      </w:pPr>
      <w:r>
        <w:rPr>
          <w:rFonts w:ascii="Calibri" w:hAnsi="Calibri"/>
          <w:b/>
          <w:color w:val="525866"/>
          <w:sz w:val="22"/>
        </w:rPr>
        <w:t xml:space="preserve">Demand: </w:t>
      </w:r>
      <w:r>
        <w:rPr>
          <w:rFonts w:ascii="Calibri" w:hAnsi="Calibri"/>
          <w:color w:val="525866"/>
          <w:sz w:val="22"/>
        </w:rPr>
        <w:t>Healthy demand in key end markets including AI infrastructure and grid modernization. Q4 guidance of $5.25B revenue (above $5.17B consensus) and EPS of $3.05 (above $2.98 consensus).</w:t>
      </w:r>
    </w:p>
    <w:p>
      <w:pPr>
        <w:pStyle w:val="ListBullet"/>
        <w:ind w:left="360" w:hanging="360"/>
      </w:pPr>
      <w:r>
        <w:rPr>
          <w:rFonts w:ascii="Calibri" w:hAnsi="Calibri"/>
          <w:b/>
          <w:color w:val="525866"/>
          <w:sz w:val="22"/>
        </w:rPr>
        <w:t xml:space="preserve">Acquisition: </w:t>
      </w:r>
      <w:r>
        <w:rPr>
          <w:rFonts w:ascii="Calibri" w:hAnsi="Calibri"/>
          <w:color w:val="525866"/>
          <w:sz w:val="22"/>
        </w:rPr>
        <w:t>Announced acquisition of Astrodyne TDI for $1.4B, expanding power conversion capabilities — consistent with the broader industrial power management theme that benefits NXPI.</w:t>
      </w:r>
    </w:p>
    <w:p>
      <w:r>
        <w:rPr>
          <w:rFonts w:ascii="Calibri" w:hAnsi="Calibri"/>
          <w:i/>
          <w:color w:val="525866"/>
          <w:sz w:val="22"/>
        </w:rPr>
        <w:t>Sources: TXN Q2 2026 Earnings Call (July 22, 2026); STM Q2 2026 Earnings Call (July 23, 2026); MCHP TD Cowen Conference (May 28, 2026), BofA Conference (June 2, 2026), Evercore Conference (June 3, 2026), Mizuho Conference (June 9, 2026); ON BofA Conference (June 3, 2026); ADI BofA Conference (June 2, 2026); STM BNP Paribas Exane Conference (June 2, 2026); TEL Q3 FY2026 Earnings (July 22,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broad-based semiconductor demand confirmation from TXN and STM Q2 prints, which directly validates NXPI’s Q2 guide. The macro backdrop (new tariff regime, CXMT IPO, chip sector selloff) has created near-term noise but does not change the fundamental setup.</w:t>
      </w:r>
    </w:p>
    <w:p>
      <w:pPr>
        <w:pStyle w:val="ListBullet"/>
        <w:ind w:left="360" w:hanging="360"/>
      </w:pPr>
      <w:r>
        <w:rPr>
          <w:rFonts w:ascii="Calibri" w:hAnsi="Calibri"/>
          <w:b/>
          <w:color w:val="525866"/>
          <w:sz w:val="22"/>
        </w:rPr>
        <w:t xml:space="preserve">July 22–23, 2026 — TXN and STM Q2 Beats: </w:t>
      </w:r>
      <w:r>
        <w:rPr>
          <w:rFonts w:ascii="Calibri" w:hAnsi="Calibri"/>
          <w:color w:val="525866"/>
          <w:sz w:val="22"/>
        </w:rPr>
        <w:t>Both peers reported Q2 results above consensus with strong automotive and industrial demand commentary (see Peer Commentary section). TXN stock sold off despite the beat (“investors reassessing returns on tech capex”), but the fundamental read-through for NXPI is positive. Implication: NXPI’s Q2 guide is well-supported by peer data points.</w:t>
      </w:r>
    </w:p>
    <w:p>
      <w:pPr>
        <w:pStyle w:val="ListBullet"/>
        <w:ind w:left="360" w:hanging="360"/>
      </w:pPr>
      <w:r>
        <w:rPr>
          <w:rFonts w:ascii="Calibri" w:hAnsi="Calibri"/>
          <w:b/>
          <w:color w:val="525866"/>
          <w:sz w:val="22"/>
        </w:rPr>
        <w:t xml:space="preserve">July 22, 2026 — TE Connectivity Q3 Beat: </w:t>
      </w:r>
      <w:r>
        <w:rPr>
          <w:rFonts w:ascii="Calibri" w:hAnsi="Calibri"/>
          <w:color w:val="525866"/>
          <w:sz w:val="22"/>
        </w:rPr>
        <w:t>TEL reported EPS of $2.94 (vs. $2.84 consensus) and revenue of $5.16B (vs. $5.0B consensus), with book-to-bill of 1.1x and Q4 guidance above consensus. Healthy demand in AI infrastructure and grid modernization. Implication: Confirms broad-based industrial/connectivity demand.</w:t>
      </w:r>
    </w:p>
    <w:p>
      <w:pPr>
        <w:pStyle w:val="ListBullet"/>
        <w:ind w:left="360" w:hanging="360"/>
      </w:pPr>
      <w:r>
        <w:rPr>
          <w:rFonts w:ascii="Calibri" w:hAnsi="Calibri"/>
          <w:b/>
          <w:color w:val="525866"/>
          <w:sz w:val="22"/>
        </w:rPr>
        <w:t xml:space="preserve">July 24, 2026 — Microchip Technology COO Resignation: </w:t>
      </w:r>
      <w:r>
        <w:rPr>
          <w:rFonts w:ascii="Calibri" w:hAnsi="Calibri"/>
          <w:color w:val="525866"/>
          <w:sz w:val="22"/>
        </w:rPr>
        <w:t>MCHP COO resigned to lead Menlo Microsystems (8-K filed). No direct NXPI implication, but signals ongoing management transitions across the analog semiconductor peer group.</w:t>
      </w:r>
    </w:p>
    <w:p>
      <w:pPr>
        <w:pStyle w:val="ListBullet"/>
        <w:ind w:left="360" w:hanging="360"/>
      </w:pPr>
      <w:r>
        <w:rPr>
          <w:rFonts w:ascii="Calibri" w:hAnsi="Calibri"/>
          <w:b/>
          <w:color w:val="525866"/>
          <w:sz w:val="22"/>
        </w:rPr>
        <w:t xml:space="preserve">July 26–27, 2026 — CXMT Shanghai IPO Debut: </w:t>
      </w:r>
      <w:r>
        <w:rPr>
          <w:rFonts w:ascii="Calibri" w:hAnsi="Calibri"/>
          <w:color w:val="525866"/>
          <w:sz w:val="22"/>
        </w:rPr>
        <w:t>ChangXin Memory Technologies surged to a ~$476B market cap on its Shanghai debut, raising $8.55B in China’s largest IPO in 15+ years. The listing triggered a broad chip sector selloff (SOX -4.5% on July 24) on fears of Chinese memory competition and liquidity squeeze. Implication: Near-term sector headwind for NXPI stock, but NXPI has minimal DRAM exposure; the selloff appears indiscriminate.</w:t>
      </w:r>
    </w:p>
    <w:p>
      <w:pPr>
        <w:pStyle w:val="ListBullet"/>
        <w:ind w:left="360" w:hanging="360"/>
      </w:pPr>
      <w:r>
        <w:rPr>
          <w:rFonts w:ascii="Calibri" w:hAnsi="Calibri"/>
          <w:b/>
          <w:color w:val="525866"/>
          <w:sz w:val="22"/>
        </w:rPr>
        <w:t xml:space="preserve">July 25–27, 2026 — NVIDIA/OpenAI/SK Hynix Mega-Deals: </w:t>
      </w:r>
      <w:r>
        <w:rPr>
          <w:rFonts w:ascii="Calibri" w:hAnsi="Calibri"/>
          <w:color w:val="525866"/>
          <w:sz w:val="22"/>
        </w:rPr>
        <w:t>NVIDIA announced $500B+ SK Group partnership, $250B OpenAI data center backstop, and $1B Naver investment. Broadcom announced $200B Samsung partnership. These deals reinforce the AI infrastructure buildout thesis that underpins NXPI’s data center control-plane revenue ramp. Implication: Positive for NXPI’s data center narrative.</w:t>
      </w:r>
    </w:p>
    <w:p>
      <w:pPr>
        <w:pStyle w:val="ListBullet"/>
        <w:ind w:left="360" w:hanging="360"/>
      </w:pPr>
      <w:r>
        <w:rPr>
          <w:rFonts w:ascii="Calibri" w:hAnsi="Calibri"/>
          <w:b/>
          <w:color w:val="525866"/>
          <w:sz w:val="22"/>
        </w:rPr>
        <w:t xml:space="preserve">July 24, 2026 — Intel Q2 Beat: </w:t>
      </w:r>
      <w:r>
        <w:rPr>
          <w:rFonts w:ascii="Calibri" w:hAnsi="Calibri"/>
          <w:color w:val="525866"/>
          <w:sz w:val="22"/>
        </w:rPr>
        <w:t>INTC reported Q2 EPS of $0.42 (vs. $0.21 consensus) and revenue of $16.1B (vs. $14.4B consensus), with data center segment up 59% YoY. Raised 2026 capex to $20B+. Implication: Confirms AI data center demand is broad-based and accelerating, supporting NXPI’s control-plane positioning.</w:t>
      </w:r>
    </w:p>
    <w:p>
      <w:pPr>
        <w:pStyle w:val="ListBullet"/>
        <w:ind w:left="360" w:hanging="360"/>
      </w:pPr>
      <w:r>
        <w:rPr>
          <w:rFonts w:ascii="Calibri" w:hAnsi="Calibri"/>
          <w:b/>
          <w:color w:val="525866"/>
          <w:sz w:val="22"/>
        </w:rPr>
        <w:t xml:space="preserve">July 27, 2026 — Cadence Q2 Beat: </w:t>
      </w:r>
      <w:r>
        <w:rPr>
          <w:rFonts w:ascii="Calibri" w:hAnsi="Calibri"/>
          <w:color w:val="525866"/>
          <w:sz w:val="22"/>
        </w:rPr>
        <w:t>CDNS reported Q2 EPS of $2.11 (vs. $2.06 consensus) and revenue of $1.584B (+24% YoY). Raised FY guidance to $8.10 EPS (from $7.90) and 19% revenue growth (from 17%). Backlog grew to $8.1B. Implication: EDA tool demand confirms continued semiconductor design activity, a leading indicator for future chip demand.</w:t>
      </w:r>
    </w:p>
    <w:p>
      <w:pPr>
        <w:pStyle w:val="ListBullet"/>
        <w:ind w:left="360" w:hanging="360"/>
      </w:pPr>
      <w:r>
        <w:rPr>
          <w:rFonts w:ascii="Calibri" w:hAnsi="Calibri"/>
          <w:b/>
          <w:color w:val="525866"/>
          <w:sz w:val="22"/>
        </w:rPr>
        <w:t xml:space="preserve">July 25, 2026 — New Tariff Regime (Section 301): </w:t>
      </w:r>
      <w:r>
        <w:rPr>
          <w:rFonts w:ascii="Calibri" w:hAnsi="Calibri"/>
          <w:color w:val="525866"/>
          <w:sz w:val="22"/>
        </w:rPr>
        <w:t>New 10-12.5% tariffs on imports from 60+ trading partners took effect, replacing the temporary Section 122 levies struck down by the Supreme Court. NXP’s hybrid manufacturing model (internal fabs + TSMC/external foundries) and global customer base create some exposure, but management has not flagged tariffs as a material headwind. Implication: Monitor for any Q2 call commentary on tariff impact on input costs or customer demand.</w:t>
      </w:r>
    </w:p>
    <w:p>
      <w:pPr>
        <w:pStyle w:val="ListBullet"/>
        <w:ind w:left="360" w:hanging="360"/>
      </w:pPr>
      <w:r>
        <w:rPr>
          <w:rFonts w:ascii="Calibri" w:hAnsi="Calibri"/>
          <w:b/>
          <w:color w:val="525866"/>
          <w:sz w:val="22"/>
        </w:rPr>
        <w:t xml:space="preserve">April 30, 2026 — TTTech Auto Rebranded as TrustMotion: </w:t>
      </w:r>
      <w:r>
        <w:rPr>
          <w:rFonts w:ascii="Calibri" w:hAnsi="Calibri"/>
          <w:color w:val="525866"/>
          <w:sz w:val="22"/>
        </w:rPr>
        <w:t>NXP rebranded its TTTech Auto acquisition as TrustMotion, providing the MotionWise middleware layer for SDV platforms. Engineering team redeployed to S32 CoreRide reference design work; zonal K5 reference design sampling to customers expected in Q3 2026. Implication: SDV platform execution on track; watch for Q2 call update on customer POC progress.</w:t>
      </w:r>
    </w:p>
    <w:p>
      <w:pPr>
        <w:pStyle w:val="ListBullet"/>
        <w:ind w:left="360" w:hanging="360"/>
      </w:pPr>
      <w:r>
        <w:rPr>
          <w:rFonts w:ascii="Calibri" w:hAnsi="Calibri"/>
          <w:b/>
          <w:color w:val="525866"/>
          <w:sz w:val="22"/>
        </w:rPr>
        <w:t xml:space="preserve">April 20, 2026 — NXP Redeems $750M Senior Notes: </w:t>
      </w:r>
      <w:r>
        <w:rPr>
          <w:rFonts w:ascii="Calibri" w:hAnsi="Calibri"/>
          <w:color w:val="525866"/>
          <w:sz w:val="22"/>
        </w:rPr>
        <w:t>NXP redeemed $750M in senior notes (8-K filed April 20), consistent with its capital allocation strategy of reducing debt as VSMC JV cash demands tail off. Implication: Balance sheet strengthening; supports return of capital trajectory.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Two planned 10b5-1 sales by senior executives since Q1 earnings — both modest in size relative to total holdings and both pre-scheduled. No open-market buys or discretionary sales. Nothing unusual to flag; the absence of clustered selling or large discretionary dispositions is a mild positive.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Value</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Andrew Micallef</w:t>
            </w:r>
          </w:p>
        </w:tc>
        <w:tc>
          <w:tcPr>
            <w:tcW w:type="dxa" w:w="1440"/>
          </w:tcPr>
          <w:p>
            <w:r>
              <w:rPr>
                <w:rFonts w:ascii="Calibri" w:hAnsi="Calibri"/>
                <w:sz w:val="22"/>
              </w:rPr>
              <w:t>EVP, Chief Operations Officer</w:t>
            </w:r>
          </w:p>
        </w:tc>
        <w:tc>
          <w:tcPr>
            <w:tcW w:type="dxa" w:w="1440"/>
          </w:tcPr>
          <w:p>
            <w:r>
              <w:rPr>
                <w:rFonts w:ascii="Calibri" w:hAnsi="Calibri"/>
                <w:sz w:val="22"/>
              </w:rPr>
              <w:t>10b5-1 Planned Sale</w:t>
            </w:r>
          </w:p>
        </w:tc>
        <w:tc>
          <w:tcPr>
            <w:tcW w:type="dxa" w:w="1440"/>
          </w:tcPr>
          <w:p>
            <w:r>
              <w:rPr>
                <w:rFonts w:ascii="Calibri" w:hAnsi="Calibri"/>
                <w:sz w:val="22"/>
              </w:rPr>
              <w:t>~1,000 shares</w:t>
            </w:r>
          </w:p>
        </w:tc>
        <w:tc>
          <w:tcPr>
            <w:tcW w:type="dxa" w:w="1440"/>
          </w:tcPr>
          <w:p>
            <w:r>
              <w:rPr>
                <w:rFonts w:ascii="Calibri" w:hAnsi="Calibri"/>
                <w:sz w:val="22"/>
              </w:rPr>
              <w:t>June 15, 2026</w:t>
            </w:r>
          </w:p>
        </w:tc>
        <w:tc>
          <w:tcPr>
            <w:tcW w:type="dxa" w:w="1440"/>
          </w:tcPr>
          <w:p>
            <w:r>
              <w:rPr>
                <w:rFonts w:ascii="Calibri" w:hAnsi="Calibri"/>
                <w:sz w:val="22"/>
              </w:rPr>
              <w:t>Pre-scheduled 10b5-1 plan; 8,942 shares retained after sale (~89% of prior holdings)</w:t>
            </w:r>
          </w:p>
        </w:tc>
      </w:tr>
      <w:tr>
        <w:tc>
          <w:tcPr>
            <w:tcW w:type="dxa" w:w="1440"/>
          </w:tcPr>
          <w:p>
            <w:r>
              <w:rPr>
                <w:rFonts w:ascii="Calibri" w:hAnsi="Calibri"/>
                <w:sz w:val="22"/>
              </w:rPr>
              <w:t>Christopher L. Jensen</w:t>
            </w:r>
          </w:p>
        </w:tc>
        <w:tc>
          <w:tcPr>
            <w:tcW w:type="dxa" w:w="1440"/>
          </w:tcPr>
          <w:p>
            <w:r>
              <w:rPr>
                <w:rFonts w:ascii="Calibri" w:hAnsi="Calibri"/>
                <w:sz w:val="22"/>
              </w:rPr>
              <w:t>EVP, Chief People Officer</w:t>
            </w:r>
          </w:p>
        </w:tc>
        <w:tc>
          <w:tcPr>
            <w:tcW w:type="dxa" w:w="1440"/>
          </w:tcPr>
          <w:p>
            <w:r>
              <w:rPr>
                <w:rFonts w:ascii="Calibri" w:hAnsi="Calibri"/>
                <w:sz w:val="22"/>
              </w:rPr>
              <w:t>10b5-1 Planned Sale</w:t>
            </w:r>
          </w:p>
        </w:tc>
        <w:tc>
          <w:tcPr>
            <w:tcW w:type="dxa" w:w="1440"/>
          </w:tcPr>
          <w:p>
            <w:r>
              <w:rPr>
                <w:rFonts w:ascii="Calibri" w:hAnsi="Calibri"/>
                <w:sz w:val="22"/>
              </w:rPr>
              <w:t>~1,746 shares</w:t>
            </w:r>
          </w:p>
        </w:tc>
        <w:tc>
          <w:tcPr>
            <w:tcW w:type="dxa" w:w="1440"/>
          </w:tcPr>
          <w:p>
            <w:r>
              <w:rPr>
                <w:rFonts w:ascii="Calibri" w:hAnsi="Calibri"/>
                <w:sz w:val="22"/>
              </w:rPr>
              <w:t>June 1, 2026</w:t>
            </w:r>
          </w:p>
        </w:tc>
        <w:tc>
          <w:tcPr>
            <w:tcW w:type="dxa" w:w="1440"/>
          </w:tcPr>
          <w:p>
            <w:r>
              <w:rPr>
                <w:rFonts w:ascii="Calibri" w:hAnsi="Calibri"/>
                <w:sz w:val="22"/>
              </w:rPr>
              <w:t>Pre-scheduled 10b5-1 plan; 3,643 shares retained after sale (~68% of prior holdings)</w:t>
            </w:r>
          </w:p>
        </w:tc>
      </w:tr>
    </w:tbl>
    <w:p>
      <w:r>
        <w:rPr>
          <w:rFonts w:ascii="Calibri" w:hAnsi="Calibri"/>
          <w:color w:val="525866"/>
          <w:sz w:val="22"/>
        </w:rPr>
        <w:t>Both transactions are pre-scheduled 10b5-1 plan sales — obligation-driven and not indicative of discretionary bearish sentiment. No open-market buys or sells were filed in the window. The absence of any large discretionary sales ahead of the Q2 print is a mild positive signal.</w:t>
      </w:r>
      <w:r>
        <w:rPr>
          <w:rFonts w:ascii="Calibri" w:hAnsi="Calibri"/>
          <w:i/>
          <w:color w:val="525866"/>
          <w:sz w:val="22"/>
        </w:rPr>
        <w:t xml:space="preserve"> Source: SEC Form 4 Filings (Micallef: filed June 17, 2026; Jensen: filed June 3,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