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ODFL before writing the preview. Let me gather recent earnings, filings, and news in parallel.I have the recent earnings history. Let me read the two most recent quarters (2026Q1 and 2025Q4) and the year-ago quarter (2025Q2) for comparison, plus check monthly metrics news.I have the Q1 call and the May monthly update. Let me get the year-ago Q2 2025 release, check for a June monthly update, get analyst/estimate news, and recent stock price performance.Let me get recent analyst sentiment/estimates and check the Q1 actual release figures.I now have enough to write a well-grounded preview. Let me compile a few precise performance stats.Here is the preview.</w:t>
      </w:r>
    </w:p>
    <w:bookmarkStart w:id="16" w:name="X907809cf377ef4f981967a7f25dea63bbc4c676"/>
    <w:p>
      <w:pPr>
        <w:pStyle w:val="Heading1"/>
      </w:pPr>
      <w:r>
        <w:t xml:space="preserve">Old Dominion Freight Line (ODFL)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Conf. call:</w:t>
      </w:r>
      <w:r>
        <w:t xml:space="preserve"> </w:t>
      </w:r>
      <w:r>
        <w:t xml:space="preserve">10:00 a.m. ET</w:t>
      </w:r>
    </w:p>
    <w:p>
      <w:r>
        <w:pict>
          <v:rect style="width:0;height:1.5pt" o:hralign="center" o:hrstd="t" o:hr="t"/>
        </w:pict>
      </w:r>
    </w:p>
    <w:bookmarkStart w:id="9" w:name="the-one-line-setup"/>
    <w:p>
      <w:pPr>
        <w:pStyle w:val="Heading2"/>
      </w:pPr>
      <w:r>
        <w:t xml:space="preserve">The one-line setup</w:t>
      </w:r>
    </w:p>
    <w:p>
      <w:pPr>
        <w:pStyle w:val="FirstParagraph"/>
      </w:pPr>
      <w:r>
        <w:t xml:space="preserve">ODFL enters this print as a stock that has already priced in the inflection. After a three-year freight recession, the sequential demand recovery that began late in 2025 has finally shown up in the numbers — and the market has responded aggressively.</w:t>
      </w:r>
      <w:r>
        <w:t xml:space="preserve"> </w:t>
      </w:r>
      <w:r>
        <w:rPr>
          <w:b/>
          <w:bCs/>
        </w:rPr>
        <w:t xml:space="preserve">The bar for Q2 is high, the valuation is full, and the key question is no longer "is the recovery real?" but "how much of it is already in the price, and does July/Q3 commentary justify it?"</w:t>
      </w:r>
    </w:p>
    <w:p>
      <w:r>
        <w:pict>
          <v:rect style="width:0;height:1.5pt" o:hralign="center" o:hrstd="t" o:hr="t"/>
        </w:pict>
      </w:r>
    </w:p>
    <w:bookmarkEnd w:id="9"/>
    <w:bookmarkStart w:id="10" w:name="X060124d276ef63d646929542b6fdaef49e024a1"/>
    <w:p>
      <w:pPr>
        <w:pStyle w:val="Heading2"/>
      </w:pPr>
      <w:r>
        <w:t xml:space="preserve">Setting the scene: what we already know about Q2</w:t>
      </w:r>
    </w:p>
    <w:p>
      <w:pPr>
        <w:pStyle w:val="FirstParagraph"/>
      </w:pPr>
      <w:r>
        <w:t xml:space="preserve">Unusually for a preview, we don't have to guess much about the top line — ODFL pre-releases monthly metrics, and management gave a detailed Q2 framework on the Q1 call (April 29).</w:t>
      </w:r>
    </w:p>
    <w:p>
      <w:pPr>
        <w:pStyle w:val="BodyText"/>
      </w:pPr>
      <w:r>
        <w:rPr>
          <w:b/>
          <w:bCs/>
        </w:rPr>
        <w:t xml:space="preserve">Reported Q2 monthly cadence so far: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(YoY)</w:t>
            </w:r>
          </w:p>
        </w:tc>
        <w:tc>
          <w:tcPr/>
          <w:p>
            <w:pPr>
              <w:pStyle w:val="Compact"/>
            </w:pPr>
            <w:r>
              <w:t xml:space="preserve">April</w:t>
            </w:r>
          </w:p>
        </w:tc>
        <w:tc>
          <w:tcPr/>
          <w:p>
            <w:pPr>
              <w:pStyle w:val="Compact"/>
            </w:pPr>
            <w:r>
              <w:t xml:space="preserve">May (QTD through May)</w:t>
            </w:r>
          </w:p>
        </w:tc>
      </w:tr>
      <w:tr>
        <w:tc>
          <w:tcPr/>
          <w:p>
            <w:pPr>
              <w:pStyle w:val="Compact"/>
            </w:pPr>
            <w:r>
              <w:t xml:space="preserve">Revenue per day</w:t>
            </w:r>
          </w:p>
        </w:tc>
        <w:tc>
          <w:tcPr/>
          <w:p>
            <w:pPr>
              <w:pStyle w:val="Compact"/>
            </w:pPr>
            <w:r>
              <w:t xml:space="preserve">+~7.0%</w:t>
            </w:r>
          </w:p>
        </w:tc>
        <w:tc>
          <w:tcPr/>
          <w:p>
            <w:pPr>
              <w:pStyle w:val="Compact"/>
            </w:pPr>
            <w:r>
              <w:t xml:space="preserve">+12.3% (May); QTD strong</w:t>
            </w:r>
          </w:p>
        </w:tc>
      </w:tr>
      <w:tr>
        <w:tc>
          <w:tcPr/>
          <w:p>
            <w:pPr>
              <w:pStyle w:val="Compact"/>
            </w:pPr>
            <w:r>
              <w:t xml:space="preserve">LTL tons per day</w:t>
            </w:r>
          </w:p>
        </w:tc>
        <w:tc>
          <w:tcPr/>
          <w:p>
            <w:pPr>
              <w:pStyle w:val="Compact"/>
            </w:pPr>
            <w:r>
              <w:t xml:space="preserve">−6.5%</w:t>
            </w:r>
          </w:p>
        </w:tc>
        <w:tc>
          <w:tcPr/>
          <w:p>
            <w:pPr>
              <w:pStyle w:val="Compact"/>
            </w:pPr>
            <w:r>
              <w:t xml:space="preserve">−3.8%</w:t>
            </w:r>
          </w:p>
        </w:tc>
      </w:tr>
      <w:tr>
        <w:tc>
          <w:tcPr/>
          <w:p>
            <w:pPr>
              <w:pStyle w:val="Compact"/>
            </w:pPr>
            <w:r>
              <w:t xml:space="preserve">LTL shipments per day</w:t>
            </w:r>
          </w:p>
        </w:tc>
        <w:tc>
          <w:tcPr/>
          <w:p>
            <w:pPr>
              <w:pStyle w:val="Compact"/>
            </w:pPr>
            <w:r>
              <w:t xml:space="preserve">—</w:t>
            </w:r>
          </w:p>
        </w:tc>
        <w:tc>
          <w:tcPr/>
          <w:p>
            <w:pPr>
              <w:pStyle w:val="Compact"/>
            </w:pPr>
            <w:r>
              <w:t xml:space="preserve">−5.3%</w:t>
            </w:r>
          </w:p>
        </w:tc>
      </w:tr>
      <w:tr>
        <w:tc>
          <w:tcPr/>
          <w:p>
            <w:pPr>
              <w:pStyle w:val="Compact"/>
            </w:pPr>
            <w:r>
              <w:t xml:space="preserve">LTL rev/cwt (incl. fuel)</w:t>
            </w:r>
          </w:p>
        </w:tc>
        <w:tc>
          <w:tcPr/>
          <w:p>
            <w:pPr>
              <w:pStyle w:val="Compact"/>
            </w:pPr>
            <w:r>
              <w:t xml:space="preserve">—</w:t>
            </w:r>
          </w:p>
        </w:tc>
        <w:tc>
          <w:tcPr/>
          <w:p>
            <w:pPr>
              <w:pStyle w:val="Compact"/>
            </w:pPr>
            <w:r>
              <w:t xml:space="preserve">+15.6% QTD</w:t>
            </w:r>
          </w:p>
        </w:tc>
      </w:tr>
      <w:tr>
        <w:tc>
          <w:tcPr/>
          <w:p>
            <w:pPr>
              <w:pStyle w:val="Compact"/>
            </w:pPr>
            <w:r>
              <w:t xml:space="preserve">LTL rev/cwt ex-fuel</w:t>
            </w:r>
          </w:p>
        </w:tc>
        <w:tc>
          <w:tcPr/>
          <w:p>
            <w:pPr>
              <w:pStyle w:val="Compact"/>
            </w:pPr>
            <w:r>
              <w:t xml:space="preserve">+4.0%–4.5%</w:t>
            </w:r>
          </w:p>
        </w:tc>
        <w:tc>
          <w:tcPr/>
          <w:p>
            <w:pPr>
              <w:pStyle w:val="Compact"/>
            </w:pPr>
            <w:r>
              <w:t xml:space="preserve">+5.4% QTD</w:t>
            </w:r>
          </w:p>
        </w:tc>
      </w:tr>
      <w:tr>
        <w:tc>
          <w:tcPr/>
          <w:p>
            <w:pPr>
              <w:pStyle w:val="Compact"/>
            </w:pPr>
            <w:r>
              <w:t xml:space="preserve">Weight per shipment</w:t>
            </w:r>
          </w:p>
        </w:tc>
        <w:tc>
          <w:tcPr/>
          <w:p>
            <w:pPr>
              <w:pStyle w:val="Compact"/>
            </w:pPr>
            <w:r>
              <w:t xml:space="preserve">+~1%</w:t>
            </w:r>
          </w:p>
        </w:tc>
        <w:tc>
          <w:tcPr/>
          <w:p>
            <w:pPr>
              <w:pStyle w:val="Compact"/>
            </w:pPr>
            <w:r>
              <w:t xml:space="preserve">+1.6%</w:t>
            </w:r>
          </w:p>
        </w:tc>
      </w:tr>
    </w:tbl>
    <w:p>
      <w:pPr>
        <w:pStyle w:val="BodyText"/>
      </w:pPr>
      <w:r>
        <w:t xml:space="preserve">The trajectory is the story:</w:t>
      </w:r>
      <w:r>
        <w:t xml:space="preserve"> </w:t>
      </w:r>
      <w:r>
        <w:rPr>
          <w:b/>
          <w:bCs/>
        </w:rPr>
        <w:t xml:space="preserve">tonnage declines are narrowing sharply</w:t>
      </w:r>
      <w:r>
        <w:t xml:space="preserve"> </w:t>
      </w:r>
      <w:r>
        <w:t xml:space="preserve">(−7.7% in Q1 → −6.5% April → −3.8% May), weight per shipment has turned positive (a classic early-cycle / industrial-recovery signal), and yields remain firmly positive ex-fuel. June is also a very easy comp (last year's June was hit by the tariff-shock demand air-pocket), so a further YoY improvement — potentially tonnage approaching flat — is plausible.</w:t>
      </w:r>
    </w:p>
    <w:p>
      <w:pPr>
        <w:pStyle w:val="BodyText"/>
      </w:pPr>
      <w:r>
        <w:rPr>
          <w:b/>
          <w:bCs/>
        </w:rPr>
        <w:t xml:space="preserve">The fuel wrinkle:</w:t>
      </w:r>
      <w:r>
        <w:t xml:space="preserve"> </w:t>
      </w:r>
      <w:r>
        <w:t xml:space="preserve">the eye-popping +15.6% headline rev/cwt is inflated by a sharp move in diesel. Management explicitly flagged Q2 2026 as an analog to</w:t>
      </w:r>
      <w:r>
        <w:t xml:space="preserve"> </w:t>
      </w:r>
      <w:r>
        <w:rPr>
          <w:b/>
          <w:bCs/>
        </w:rPr>
        <w:t xml:space="preserve">Q2 2022's "fuel shock"</w:t>
      </w:r>
      <w:r>
        <w:t xml:space="preserve"> </w:t>
      </w:r>
      <w:r>
        <w:t xml:space="preserve">— fuel lifts reported revenue but also drives variable-cost inflation (and ancillary costs like credit-card fees), so it is roughly earnings-neutral. Don't read the headline revenue/yield acceleration as pure margin upside.</w:t>
      </w:r>
    </w:p>
    <w:p>
      <w:r>
        <w:pict>
          <v:rect style="width:0;height:1.5pt" o:hralign="center" o:hrstd="t" o:hr="t"/>
        </w:pict>
      </w:r>
    </w:p>
    <w:bookmarkEnd w:id="10"/>
    <w:bookmarkStart w:id="11" w:name="the-numbers-to-judge-the-quarter-against"/>
    <w:p>
      <w:pPr>
        <w:pStyle w:val="Heading2"/>
      </w:pPr>
      <w:r>
        <w:t xml:space="preserve">The numbers to judge the quarter against</w:t>
      </w:r>
    </w:p>
    <w:p>
      <w:pPr>
        <w:pStyle w:val="FirstParagraph"/>
      </w:pPr>
      <w:r>
        <w:rPr>
          <w:b/>
          <w:bCs/>
        </w:rPr>
        <w:t xml:space="preserve">Consensus (Street):</w:t>
      </w:r>
      <w:r>
        <w:t xml:space="preserve"> </w:t>
      </w:r>
      <w:r>
        <w:t xml:space="preserve">~</w:t>
      </w:r>
      <m:oMath>
        <m:r>
          <m:t>1.50</m:t>
        </m:r>
        <m:r>
          <m:rPr>
            <m:sty m:val="p"/>
          </m:rPr>
          <m:t>–</m:t>
        </m:r>
      </m:oMath>
      <w:r>
        <w:rPr>
          <w:b/>
          <w:bCs/>
        </w:rPr>
        <w:t xml:space="preserve">1.53</w:t>
      </w:r>
      <w:r>
        <w:t xml:space="preserve"> </w:t>
      </w:r>
      <w:r>
        <w:t xml:space="preserve">in diluted EPS (Zacks ~</w:t>
      </w:r>
      <m:oMath>
        <m:r>
          <m:t>1.52</m:t>
        </m:r>
        <m:r>
          <m:rPr>
            <m:sty m:val="p"/>
          </m:rPr>
          <m:t>,</m:t>
        </m:r>
        <m:r>
          <m:t>T</m:t>
        </m:r>
        <m:r>
          <m:t>i</m:t>
        </m:r>
        <m:r>
          <m:t>p</m:t>
        </m:r>
        <m:r>
          <m:t>R</m:t>
        </m:r>
        <m:r>
          <m:t>a</m:t>
        </m:r>
        <m:r>
          <m:t>n</m:t>
        </m:r>
        <m:r>
          <m:t>k</m:t>
        </m:r>
        <m:r>
          <m:t>s</m:t>
        </m:r>
        <m:r>
          <m:t> </m:t>
        </m:r>
      </m:oMath>
      <w:r>
        <w:t xml:space="preserve">1.53; one tracker at</w:t>
      </w:r>
      <w:r>
        <w:t xml:space="preserve"> </w:t>
      </w:r>
      <m:oMath>
        <m:r>
          <m:t>1.47</m:t>
        </m:r>
        <m:r>
          <m:rPr>
            <m:sty m:val="p"/>
          </m:rPr>
          <m:t>)</m:t>
        </m:r>
        <m:r>
          <m:rPr>
            <m:sty m:val="p"/>
          </m:rPr>
          <m:t>,</m:t>
        </m:r>
        <m:r>
          <m:t>u</m:t>
        </m:r>
        <m:r>
          <m:t>p</m:t>
        </m:r>
        <m:r>
          <m:t>r</m:t>
        </m:r>
        <m:r>
          <m:t>o</m:t>
        </m:r>
        <m:r>
          <m:t>u</m:t>
        </m:r>
        <m:r>
          <m:t>g</m:t>
        </m:r>
        <m:r>
          <m:t>h</m:t>
        </m:r>
        <m:r>
          <m:t>l</m:t>
        </m:r>
        <m:r>
          <m:t>y</m:t>
        </m:r>
        <m:r>
          <m:rPr>
            <m:sty m:val="p"/>
          </m:rPr>
          <m:t>*</m:t>
        </m:r>
        <m:r>
          <m:rPr>
            <m:sty m:val="p"/>
          </m:rPr>
          <m:t>*</m:t>
        </m:r>
        <m:r>
          <m:rPr>
            <m:sty m:val="p"/>
          </m:rPr>
          <m:t>+</m:t>
        </m:r>
        <m:r>
          <m:t>18</m:t>
        </m:r>
        <m:r>
          <m:rPr>
            <m:sty m:val="p"/>
          </m:rPr>
          <m:t>–</m:t>
        </m:r>
        <m:r>
          <m:t>20</m:t>
        </m:r>
      </m:oMath>
      <w:r>
        <w:t xml:space="preserve">1.27** a year ago. Estimates were revised</w:t>
      </w:r>
      <w:r>
        <w:t xml:space="preserve"> </w:t>
      </w:r>
      <w:r>
        <w:rPr>
          <w:b/>
          <w:bCs/>
        </w:rPr>
        <w:t xml:space="preserve">up ~6%</w:t>
      </w:r>
      <w:r>
        <w:t xml:space="preserve"> </w:t>
      </w:r>
      <w:r>
        <w:t xml:space="preserve">over the 60 days into the print — meaning whisper numbers are likely above consensus, raising the effective bar. Revenue is expected up around double digits YoY vs. the year-ago</w:t>
      </w:r>
      <w:r>
        <w:t xml:space="preserve"> </w:t>
      </w:r>
      <w:r>
        <w:rPr>
          <w:b/>
          <w:bCs/>
        </w:rPr>
        <w:t xml:space="preserve">$1.408B</w:t>
      </w:r>
      <w:r>
        <w:t xml:space="preserve">.</w:t>
      </w:r>
    </w:p>
    <w:p>
      <w:pPr>
        <w:pStyle w:val="BodyText"/>
      </w:pPr>
      <w:r>
        <w:rPr>
          <w:b/>
          <w:bCs/>
        </w:rPr>
        <w:t xml:space="preserve">Year-ago Q2 2025 baseline (the comp):</w:t>
      </w:r>
    </w:p>
    <w:p>
      <w:pPr>
        <w:pStyle w:val="Compact"/>
        <w:numPr>
          <w:ilvl w:val="0"/>
          <w:numId w:val="1001"/>
        </w:numPr>
      </w:pPr>
      <w:r>
        <w:t xml:space="preserve">Revenue $1.408B (−6.1% YoY at the time)</w:t>
      </w:r>
    </w:p>
    <w:p>
      <w:pPr>
        <w:pStyle w:val="Compact"/>
        <w:numPr>
          <w:ilvl w:val="0"/>
          <w:numId w:val="1001"/>
        </w:numPr>
      </w:pPr>
      <w:r>
        <w:t xml:space="preserve">Operating ratio</w:t>
      </w:r>
      <w:r>
        <w:t xml:space="preserve"> </w:t>
      </w:r>
      <w:r>
        <w:rPr>
          <w:b/>
          <w:bCs/>
        </w:rPr>
        <w:t xml:space="preserve">74.6%</w:t>
      </w:r>
      <w:r>
        <w:t xml:space="preserve"> </w:t>
      </w:r>
      <w:r>
        <w:t xml:space="preserve">(had deteriorated 270 bps YoY)</w:t>
      </w:r>
    </w:p>
    <w:p>
      <w:pPr>
        <w:pStyle w:val="Compact"/>
        <w:numPr>
          <w:ilvl w:val="0"/>
          <w:numId w:val="1001"/>
        </w:numPr>
      </w:pPr>
      <w:r>
        <w:t xml:space="preserve">EPS</w:t>
      </w:r>
      <w:r>
        <w:t xml:space="preserve"> </w:t>
      </w:r>
      <w:r>
        <w:rPr>
          <w:b/>
          <w:bCs/>
        </w:rPr>
        <w:t xml:space="preserve">$1.27</w:t>
      </w:r>
      <w:r>
        <w:t xml:space="preserve"> </w:t>
      </w:r>
      <w:r>
        <w:t xml:space="preserve">(−14.2% YoY)</w:t>
      </w:r>
    </w:p>
    <w:p>
      <w:pPr>
        <w:pStyle w:val="Compact"/>
        <w:numPr>
          <w:ilvl w:val="0"/>
          <w:numId w:val="1001"/>
        </w:numPr>
      </w:pPr>
      <w:r>
        <w:t xml:space="preserve">Tons/day −9.3%, shipments/day −7.3%, rev/cwt ex-fuel +5.3%, weight/shipment 1,478 lbs</w:t>
      </w:r>
    </w:p>
    <w:p>
      <w:pPr>
        <w:pStyle w:val="FirstParagraph"/>
      </w:pPr>
      <w:r>
        <w:rPr>
          <w:b/>
          <w:bCs/>
        </w:rPr>
        <w:t xml:space="preserve">Most recent quarter (Q1 2026):</w:t>
      </w:r>
    </w:p>
    <w:p>
      <w:pPr>
        <w:pStyle w:val="Compact"/>
        <w:numPr>
          <w:ilvl w:val="0"/>
          <w:numId w:val="1002"/>
        </w:numPr>
      </w:pPr>
      <w:r>
        <w:t xml:space="preserve">Revenue</w:t>
      </w:r>
      <w:r>
        <w:t xml:space="preserve"> </w:t>
      </w:r>
      <m:oMath>
        <m:r>
          <m:t>1.33</m:t>
        </m:r>
        <m:r>
          <m:t>B</m:t>
        </m:r>
        <m:r>
          <m:rPr>
            <m:sty m:val="p"/>
          </m:rPr>
          <m:t>(</m:t>
        </m:r>
        <m:r>
          <m:rPr>
            <m:sty m:val="p"/>
          </m:rPr>
          <m:t>−</m:t>
        </m:r>
        <m:r>
          <m:t>2.9</m:t>
        </m:r>
      </m:oMath>
      <w:r>
        <w:t xml:space="preserve">1.14** (−4.2% YoY)</w:t>
      </w:r>
    </w:p>
    <w:p>
      <w:pPr>
        <w:pStyle w:val="Compact"/>
        <w:numPr>
          <w:ilvl w:val="0"/>
          <w:numId w:val="1002"/>
        </w:numPr>
      </w:pPr>
      <w:r>
        <w:t xml:space="preserve">But: Q1 was a positive surprise operationally — tonnage grew ~200 bps above normal seasonality in Feb/Mar, marking the fourth straight quarter of meeting/beating seasonal norms.</w:t>
      </w:r>
    </w:p>
    <w:p>
      <w:r>
        <w:pict>
          <v:rect style="width:0;height:1.5pt" o:hralign="center" o:hrstd="t" o:hr="t"/>
        </w:pict>
      </w:r>
    </w:p>
    <w:bookmarkEnd w:id="11"/>
    <w:bookmarkStart w:id="12" w:name="Xaedea09ed1be50d4b6a24b73408d2d99b2e2f4e"/>
    <w:p>
      <w:pPr>
        <w:pStyle w:val="Heading2"/>
      </w:pPr>
      <w:r>
        <w:t xml:space="preserve">The single most important number: the operating ratio</w:t>
      </w:r>
    </w:p>
    <w:p>
      <w:pPr>
        <w:pStyle w:val="FirstParagraph"/>
      </w:pPr>
      <w:r>
        <w:t xml:space="preserve">This is where the quarter will be made or missed. On the Q1 call, CFO Adam Satterfield guided to the</w:t>
      </w:r>
      <w:r>
        <w:t xml:space="preserve"> </w:t>
      </w:r>
      <w:r>
        <w:rPr>
          <w:b/>
          <w:bCs/>
        </w:rPr>
        <w:t xml:space="preserve">normal 10-year sequential OR improvement of 300–350 bps from Q1 to Q2</w:t>
      </w:r>
      <w:r>
        <w:t xml:space="preserve">, contingent on sequential volume improvement (which has materialized). Off the Q1 base of 76.2%, that implies a</w:t>
      </w:r>
      <w:r>
        <w:t xml:space="preserve"> </w:t>
      </w:r>
      <w:r>
        <w:rPr>
          <w:b/>
          <w:bCs/>
        </w:rPr>
        <w:t xml:space="preserve">Q2 OR of roughly 72.7%–73.2%</w:t>
      </w:r>
      <w:r>
        <w:t xml:space="preserve"> </w:t>
      </w:r>
      <w:r>
        <w:t xml:space="preserve">— a ~140–190 bp YoY improvement vs. 74.6%.</w:t>
      </w:r>
    </w:p>
    <w:p>
      <w:pPr>
        <w:pStyle w:val="BodyText"/>
      </w:pPr>
      <w:r>
        <w:t xml:space="preserve">What to watch on the OR:</w:t>
      </w:r>
    </w:p>
    <w:p>
      <w:pPr>
        <w:pStyle w:val="Compact"/>
        <w:numPr>
          <w:ilvl w:val="0"/>
          <w:numId w:val="1003"/>
        </w:numPr>
      </w:pPr>
      <w:r>
        <w:rPr>
          <w:b/>
          <w:bCs/>
        </w:rPr>
        <w:t xml:space="preserve">Density / operating leverage.</w:t>
      </w:r>
      <w:r>
        <w:t xml:space="preserve"> </w:t>
      </w:r>
      <w:r>
        <w:t xml:space="preserve">ODFL is still carrying</w:t>
      </w:r>
      <w:r>
        <w:t xml:space="preserve"> </w:t>
      </w:r>
      <w:r>
        <w:rPr>
          <w:b/>
          <w:bCs/>
        </w:rPr>
        <w:t xml:space="preserve">&gt;35% excess terminal capacity</w:t>
      </w:r>
      <w:r>
        <w:t xml:space="preserve"> </w:t>
      </w:r>
      <w:r>
        <w:t xml:space="preserve">and an "appropriately sized" (not over-cut) workforce built to absorb volume. Incremental volume should flow through at high incremental margins — the core bull thesis.</w:t>
      </w:r>
    </w:p>
    <w:p>
      <w:pPr>
        <w:pStyle w:val="Compact"/>
        <w:numPr>
          <w:ilvl w:val="0"/>
          <w:numId w:val="1003"/>
        </w:numPr>
      </w:pPr>
      <w:r>
        <w:rPr>
          <w:b/>
          <w:bCs/>
        </w:rPr>
        <w:t xml:space="preserve">Offsets management pre-warned on:</w:t>
      </w:r>
      <w:r>
        <w:t xml:space="preserve"> </w:t>
      </w:r>
      <w:r>
        <w:t xml:space="preserve">rising fringe/health-benefit costs (they ran favorably in Q1 and are expected to normalize higher), plus fuel-driven variable-cost inflation.</w:t>
      </w:r>
    </w:p>
    <w:p>
      <w:pPr>
        <w:pStyle w:val="Compact"/>
        <w:numPr>
          <w:ilvl w:val="0"/>
          <w:numId w:val="1003"/>
        </w:numPr>
      </w:pPr>
      <w:r>
        <w:rPr>
          <w:b/>
          <w:bCs/>
        </w:rPr>
        <w:t xml:space="preserve">Beat set-up:</w:t>
      </w:r>
      <w:r>
        <w:t xml:space="preserve"> </w:t>
      </w:r>
      <w:r>
        <w:t xml:space="preserve">management noted that if volumes accelerated as they did in Feb/Mar, they could beat the sequential OR guide (as they did in Q1). Given the strong May revenue print, a sub-73% OR would be read as a clean beat.</w:t>
      </w:r>
    </w:p>
    <w:p>
      <w:r>
        <w:pict>
          <v:rect style="width:0;height:1.5pt" o:hralign="center" o:hrstd="t" o:hr="t"/>
        </w:pict>
      </w:r>
    </w:p>
    <w:bookmarkEnd w:id="12"/>
    <w:bookmarkStart w:id="13" w:name="X7f97878a55e909077387d5dcd07f9fdb042f0bb"/>
    <w:p>
      <w:pPr>
        <w:pStyle w:val="Heading2"/>
      </w:pPr>
      <w:r>
        <w:t xml:space="preserve">What matters most on the call (arguably more than the Q2 print itself)</w:t>
      </w:r>
    </w:p>
    <w:p>
      <w:pPr>
        <w:pStyle w:val="FirstParagraph"/>
      </w:pPr>
      <w:r>
        <w:t xml:space="preserve">Because the top line is largely known, the</w:t>
      </w:r>
      <w:r>
        <w:t xml:space="preserve"> </w:t>
      </w:r>
      <w:r>
        <w:rPr>
          <w:b/>
          <w:bCs/>
        </w:rPr>
        <w:t xml:space="preserve">forward commentary will drive the stock</w:t>
      </w:r>
      <w:r>
        <w:t xml:space="preserve">:</w:t>
      </w:r>
    </w:p>
    <w:p>
      <w:pPr>
        <w:pStyle w:val="Compact"/>
        <w:numPr>
          <w:ilvl w:val="0"/>
          <w:numId w:val="1004"/>
        </w:numPr>
      </w:pPr>
      <w:r>
        <w:rPr>
          <w:b/>
          <w:bCs/>
        </w:rPr>
        <w:t xml:space="preserve">The July mid-quarter update / Q3 seasonality.</w:t>
      </w:r>
      <w:r>
        <w:t xml:space="preserve"> </w:t>
      </w:r>
      <w:r>
        <w:t xml:space="preserve">ODFL typically gives month-to-date July trends. With the stock priced for accelerating recovery, any sign that the sequential momentum is stalling would be a problem; confirmation that tonnage is going YoY-positive would be the bull's payoff.</w:t>
      </w:r>
    </w:p>
    <w:p>
      <w:pPr>
        <w:pStyle w:val="Compact"/>
        <w:numPr>
          <w:ilvl w:val="0"/>
          <w:numId w:val="1004"/>
        </w:numPr>
      </w:pPr>
      <w:r>
        <w:rPr>
          <w:b/>
          <w:bCs/>
        </w:rPr>
        <w:t xml:space="preserve">Does tonnage inflect positive?</w:t>
      </w:r>
      <w:r>
        <w:t xml:space="preserve"> </w:t>
      </w:r>
      <w:r>
        <w:t xml:space="preserve">Management's stated goal is getting tonnage/shipments "back to neutral" YoY and then returning to their historic playbook of outgrowing peers by</w:t>
      </w:r>
      <w:r>
        <w:t xml:space="preserve"> </w:t>
      </w:r>
      <w:r>
        <w:rPr>
          <w:b/>
          <w:bCs/>
        </w:rPr>
        <w:t xml:space="preserve">900–1,000 bps</w:t>
      </w:r>
      <w:r>
        <w:t xml:space="preserve"> </w:t>
      </w:r>
      <w:r>
        <w:t xml:space="preserve">in the early innings of a recovery. Any commentary that June/July tonnage is flat-to-up YoY is the key catalyst.</w:t>
      </w:r>
    </w:p>
    <w:p>
      <w:pPr>
        <w:pStyle w:val="Compact"/>
        <w:numPr>
          <w:ilvl w:val="0"/>
          <w:numId w:val="1004"/>
        </w:numPr>
      </w:pPr>
      <w:r>
        <w:rPr>
          <w:b/>
          <w:bCs/>
        </w:rPr>
        <w:t xml:space="preserve">Truckload spillover.</w:t>
      </w:r>
      <w:r>
        <w:t xml:space="preserve"> </w:t>
      </w:r>
      <w:r>
        <w:t xml:space="preserve">Management has flagged a tightening truckload market beginning to reverse the multi-year freight-down-trading headwind (shippers who consolidated LTL into TL are returning). Evidence this is accelerating would extend the runway.</w:t>
      </w:r>
    </w:p>
    <w:p>
      <w:pPr>
        <w:pStyle w:val="Compact"/>
        <w:numPr>
          <w:ilvl w:val="0"/>
          <w:numId w:val="1004"/>
        </w:numPr>
      </w:pPr>
      <w:r>
        <w:rPr>
          <w:b/>
          <w:bCs/>
        </w:rPr>
        <w:t xml:space="preserve">Industrial vs. retail mix.</w:t>
      </w:r>
      <w:r>
        <w:t xml:space="preserve"> </w:t>
      </w:r>
      <w:r>
        <w:t xml:space="preserve">The recovery has so far been retail-led; rising weight per shipment (+1.6% in May) hints industrial is turning. A confirmed industrial pickup would be a strong positive-mix signal.</w:t>
      </w:r>
    </w:p>
    <w:p>
      <w:pPr>
        <w:pStyle w:val="Compact"/>
        <w:numPr>
          <w:ilvl w:val="0"/>
          <w:numId w:val="1004"/>
        </w:numPr>
      </w:pPr>
      <w:r>
        <w:rPr>
          <w:b/>
          <w:bCs/>
        </w:rPr>
        <w:t xml:space="preserve">Pricing durability.</w:t>
      </w:r>
      <w:r>
        <w:t xml:space="preserve"> </w:t>
      </w:r>
      <w:r>
        <w:t xml:space="preserve">Ex-fuel yield of ~5% with cost-based, disciplined GRI intact. The target is restoring a positive revenue-per-shipment-over-cost-per-shipment spread (historically +100–150 bps); they said they were "closing the gap" but not there yet.</w:t>
      </w:r>
    </w:p>
    <w:p>
      <w:pPr>
        <w:pStyle w:val="Compact"/>
        <w:numPr>
          <w:ilvl w:val="0"/>
          <w:numId w:val="1004"/>
        </w:numPr>
      </w:pPr>
      <w:r>
        <w:rPr>
          <w:b/>
          <w:bCs/>
        </w:rPr>
        <w:t xml:space="preserve">Capital returns.</w:t>
      </w:r>
      <w:r>
        <w:t xml:space="preserve"> </w:t>
      </w:r>
      <w:r>
        <w:t xml:space="preserve">2026 capex trimmed to</w:t>
      </w:r>
      <w:r>
        <w:t xml:space="preserve"> </w:t>
      </w:r>
      <w:r>
        <w:rPr>
          <w:b/>
          <w:bCs/>
        </w:rPr>
        <w:t xml:space="preserve">~</w:t>
      </w:r>
      <m:oMath>
        <m:r>
          <m:t>265</m:t>
        </m:r>
        <m:r>
          <m:t>M</m:t>
        </m:r>
        <m:r>
          <m:rPr>
            <m:sty m:val="p"/>
          </m:rPr>
          <m:t>*</m:t>
        </m:r>
        <m:r>
          <m:rPr>
            <m:sty m:val="p"/>
          </m:rPr>
          <m:t>*</m:t>
        </m:r>
        <m:r>
          <m:rPr>
            <m:sty m:val="p"/>
          </m:rPr>
          <m:t>(</m:t>
        </m:r>
        <m:r>
          <m:t>f</m:t>
        </m:r>
        <m:r>
          <m:t>r</m:t>
        </m:r>
        <m:r>
          <m:t>o</m:t>
        </m:r>
        <m:r>
          <m:t>m</m:t>
        </m:r>
        <m:r>
          <m:t> </m:t>
        </m:r>
      </m:oMath>
      <w:r>
        <w:rPr>
          <w:b/>
          <w:bCs/>
        </w:rPr>
        <w:t xml:space="preserve">450M in 2025 / ~$2B over three years), which frees cash flow. Q1 saw $88M of buybacks +</w:t>
      </w:r>
      <w:r>
        <w:rPr>
          <w:b/>
          <w:bCs/>
        </w:rPr>
        <w:t xml:space="preserve"> </w:t>
      </w:r>
      <m:oMath>
        <m:r>
          <m:t>60.5</m:t>
        </m:r>
        <m:r>
          <m:t>M</m:t>
        </m:r>
        <m:r>
          <m:t>d</m:t>
        </m:r>
        <m:r>
          <m:t>i</m:t>
        </m:r>
        <m:r>
          <m:t>v</m:t>
        </m:r>
        <m:r>
          <m:t>i</m:t>
        </m:r>
        <m:r>
          <m:t>d</m:t>
        </m:r>
        <m:r>
          <m:t>e</m:t>
        </m:r>
        <m:r>
          <m:t>n</m:t>
        </m:r>
        <m:r>
          <m:t>d</m:t>
        </m:r>
        <m:r>
          <m:t>s</m:t>
        </m:r>
        <m:r>
          <m:rPr>
            <m:sty m:val="p"/>
          </m:rPr>
          <m:t>.</m:t>
        </m:r>
        <m:r>
          <m:t>T</m:t>
        </m:r>
        <m:r>
          <m:t>h</m:t>
        </m:r>
        <m:r>
          <m:t>e</m:t>
        </m:r>
        <m:r>
          <m:t>b</m:t>
        </m:r>
        <m:r>
          <m:t>o</m:t>
        </m:r>
        <m:r>
          <m:t>a</m:t>
        </m:r>
        <m:r>
          <m:t>r</m:t>
        </m:r>
        <m:r>
          <m:t>d</m:t>
        </m:r>
        <m:r>
          <m:t>j</m:t>
        </m:r>
        <m:r>
          <m:t>u</m:t>
        </m:r>
        <m:r>
          <m:t>s</m:t>
        </m:r>
        <m:r>
          <m:t>t</m:t>
        </m:r>
        <m:r>
          <m:t>d</m:t>
        </m:r>
        <m:r>
          <m:t>e</m:t>
        </m:r>
        <m:r>
          <m:t>c</m:t>
        </m:r>
        <m:r>
          <m:t>l</m:t>
        </m:r>
        <m:r>
          <m:t>a</m:t>
        </m:r>
        <m:r>
          <m:t>r</m:t>
        </m:r>
        <m:r>
          <m:t>e</m:t>
        </m:r>
        <m:r>
          <m:t>d</m:t>
        </m:r>
        <m:r>
          <m:t>a</m:t>
        </m:r>
        <m:r>
          <m:rPr>
            <m:sty m:val="p"/>
          </m:rPr>
          <m:t>*</m:t>
        </m:r>
        <m:r>
          <m:rPr>
            <m:sty m:val="p"/>
          </m:rPr>
          <m:t>*</m:t>
        </m:r>
      </m:oMath>
      <w:r>
        <w:rPr>
          <w:b/>
          <w:bCs/>
        </w:rPr>
        <w:t xml:space="preserve">0.29/share quarterly dividend (July 23)</w:t>
      </w:r>
      <w:r>
        <w:t xml:space="preserve">. Watch buyback pace given the elevated share price.</w:t>
      </w:r>
    </w:p>
    <w:p>
      <w:r>
        <w:pict>
          <v:rect style="width:0;height:1.5pt" o:hralign="center" o:hrstd="t" o:hr="t"/>
        </w:pict>
      </w:r>
    </w:p>
    <w:bookmarkEnd w:id="13"/>
    <w:bookmarkStart w:id="14" w:name="valuation--positioning--the-real-risk"/>
    <w:p>
      <w:pPr>
        <w:pStyle w:val="Heading2"/>
      </w:pPr>
      <w:r>
        <w:t xml:space="preserve">Valuation &amp; positioning — the real risk</w:t>
      </w:r>
    </w:p>
    <w:p>
      <w:pPr>
        <w:pStyle w:val="FirstParagraph"/>
      </w:pPr>
      <w:r>
        <w:t xml:space="preserve">This is the crux of the trade. The recovery narrative is well established and the stock has run hard:</w:t>
      </w:r>
    </w:p>
    <w:p>
      <w:pPr>
        <w:pStyle w:val="Compact"/>
        <w:numPr>
          <w:ilvl w:val="0"/>
          <w:numId w:val="1005"/>
        </w:numPr>
      </w:pPr>
      <w:r>
        <w:rPr>
          <w:b/>
          <w:bCs/>
        </w:rPr>
        <w:t xml:space="preserve">+44% YTD</w:t>
      </w:r>
      <w:r>
        <w:t xml:space="preserve"> </w:t>
      </w:r>
      <w:r>
        <w:t xml:space="preserve">in 2026 vs. SPY</w:t>
      </w:r>
      <w:r>
        <w:t xml:space="preserve"> </w:t>
      </w:r>
      <w:r>
        <w:rPr>
          <w:b/>
          <w:bCs/>
        </w:rPr>
        <w:t xml:space="preserve">+8.6%</w:t>
      </w:r>
      <w:r>
        <w:t xml:space="preserve"> </w:t>
      </w:r>
      <w:r>
        <w:t xml:space="preserve">— a massive ~35-point outperformance.</w:t>
      </w:r>
    </w:p>
    <w:p>
      <w:pPr>
        <w:pStyle w:val="Compact"/>
        <w:numPr>
          <w:ilvl w:val="0"/>
          <w:numId w:val="1005"/>
        </w:numPr>
      </w:pPr>
      <w:r>
        <w:rPr>
          <w:b/>
          <w:bCs/>
        </w:rPr>
        <w:t xml:space="preserve">+38% YoY</w:t>
      </w:r>
      <w:r>
        <w:t xml:space="preserve"> </w:t>
      </w:r>
      <w:r>
        <w:t xml:space="preserve">and</w:t>
      </w:r>
      <w:r>
        <w:t xml:space="preserve"> </w:t>
      </w:r>
      <w:r>
        <w:rPr>
          <w:b/>
          <w:bCs/>
        </w:rPr>
        <w:t xml:space="preserve">~+79% off the ~$126 November 2025 low</w:t>
      </w:r>
      <w:r>
        <w:t xml:space="preserve">.</w:t>
      </w:r>
    </w:p>
    <w:p>
      <w:pPr>
        <w:pStyle w:val="Compact"/>
        <w:numPr>
          <w:ilvl w:val="0"/>
          <w:numId w:val="1005"/>
        </w:numPr>
      </w:pPr>
      <w:r>
        <w:t xml:space="preserve">Closed **</w:t>
      </w:r>
      <m:oMath>
        <m:r>
          <m:t>226.32</m:t>
        </m:r>
        <m:r>
          <m:rPr>
            <m:sty m:val="p"/>
          </m:rPr>
          <m:t>*</m:t>
        </m:r>
        <m:r>
          <m:rPr>
            <m:sty m:val="p"/>
          </m:rPr>
          <m:t>*</m:t>
        </m:r>
        <m:r>
          <m:t>o</m:t>
        </m:r>
        <m:r>
          <m:t>n</m:t>
        </m:r>
        <m:r>
          <m:t>7</m:t>
        </m:r>
        <m:r>
          <m:rPr>
            <m:sty m:val="p"/>
          </m:rPr>
          <m:t>/</m:t>
        </m:r>
        <m:r>
          <m:t>28</m:t>
        </m:r>
        <m:r>
          <m:rPr>
            <m:sty m:val="p"/>
          </m:rPr>
          <m:t>,</m:t>
        </m:r>
        <m:r>
          <m:t> </m:t>
        </m:r>
        <m:r>
          <m:t>9</m:t>
        </m:r>
      </m:oMath>
      <w:r>
        <w:t xml:space="preserve">249.</w:t>
      </w:r>
    </w:p>
    <w:p>
      <w:pPr>
        <w:pStyle w:val="FirstParagraph"/>
      </w:pPr>
      <w:r>
        <w:t xml:space="preserve">On ~$1.50 quarterly and a forward run-rate near $6, the stock trades at a premium (well north of 35x forward earnings) — a peak-multiple, best-in-class quality name pricing in a robust multi-year recovery. Multiple sell-side notes into the print flagged the shares as</w:t>
      </w:r>
      <w:r>
        <w:t xml:space="preserve"> </w:t>
      </w:r>
      <w:r>
        <w:rPr>
          <w:b/>
          <w:bCs/>
        </w:rPr>
        <w:t xml:space="preserve">"fully valued."</w:t>
      </w:r>
      <w:r>
        <w:t xml:space="preserve"> </w:t>
      </w:r>
      <w:r>
        <w:t xml:space="preserve">Estimates have been revised up into the report, so consensus is likely a low bar relative to buy-side expectations.</w:t>
      </w:r>
    </w:p>
    <w:p>
      <w:pPr>
        <w:pStyle w:val="BodyText"/>
      </w:pPr>
      <w:r>
        <w:rPr>
          <w:b/>
          <w:bCs/>
        </w:rPr>
        <w:t xml:space="preserve">The asymmetry:</w:t>
      </w:r>
      <w:r>
        <w:t xml:space="preserve"> </w:t>
      </w:r>
      <w:r>
        <w:t xml:space="preserve">an in-line or modest beat with cautious/uncertain forward commentary could disappoint a stock priced for acceleration — recall that the Q2 2025 report triggered a ~10% one-day drop. Conversely, a clean OR beat (sub-73%) plus confirmation that tonnage is inflecting YoY-positive in July would validate the re-rating.</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The debate is not whether ODFL is recovering — the monthly data confirm it is. Q2 should show</w:t>
      </w:r>
      <w:r>
        <w:t xml:space="preserve"> </w:t>
      </w:r>
      <w:r>
        <w:rPr>
          <w:b/>
          <w:bCs/>
        </w:rPr>
        <w:t xml:space="preserve">double-digit EPS growth (~$1.50+), ~double-digit revenue growth, and meaningful YoY OR improvement toward the low-73%s</w:t>
      </w:r>
      <w:r>
        <w:t xml:space="preserve">. The two things that actually move the stock:</w:t>
      </w:r>
      <w:r>
        <w:t xml:space="preserve"> </w:t>
      </w:r>
      <w:r>
        <w:rPr>
          <w:b/>
          <w:bCs/>
        </w:rPr>
        <w:t xml:space="preserve">(1) the operating ratio vs. the ~72.7–73.2% seasonal frame</w:t>
      </w:r>
      <w:r>
        <w:t xml:space="preserve"> </w:t>
      </w:r>
      <w:r>
        <w:t xml:space="preserve">(density-driven leverage is the whole thesis), and</w:t>
      </w:r>
      <w:r>
        <w:t xml:space="preserve"> </w:t>
      </w:r>
      <w:r>
        <w:rPr>
          <w:b/>
          <w:bCs/>
        </w:rPr>
        <w:t xml:space="preserve">(2) the July/Q3 forward commentary and whether tonnage finally turns YoY-positive</w:t>
      </w:r>
      <w:r>
        <w:t xml:space="preserve">. With the stock up 44% YTD and viewed as fully valued, the risk/reward skews toward "needs a beat-and-raise to keep working" — a solid-but-in-line quarter with hedged guidance is the setup most likely to disappoint.</w:t>
      </w:r>
    </w:p>
    <w:p>
      <w:pPr>
        <w:pStyle w:val="BodyText"/>
      </w:pPr>
      <w:r>
        <w:rPr>
          <w:i/>
          <w:iCs/>
        </w:rPr>
        <w:t xml:space="preserve">Watch-list quick reference: OR (vs. ~73%), June &amp; July tons/day YoY, ex-fuel yield (~5%), weight per shipment (industrial signal), incremental margins, and any change in buyback cadence.</w:t>
      </w:r>
    </w:p>
    <w:p>
      <w:r>
        <w:pict>
          <v:rect style="width:0;height:1.5pt" o:hralign="center" o:hrstd="t" o:hr="t"/>
        </w:pict>
      </w:r>
    </w:p>
    <w:p>
      <w:pPr>
        <w:pStyle w:val="FirstParagraph"/>
      </w:pPr>
      <w:r>
        <w:rPr>
          <w:i/>
          <w:iCs/>
        </w:rPr>
        <w:t xml:space="preserve">Note: financial figures and management commentary are drawn from ODFL's Q1 2026 earnings call (4/29/26), the June 3 May-metrics update, and the Q2 2025 release; consensus/valuation figures are from third-party estimate aggregators and are approximate. Actual results and Street numbers should be confirmed against the release.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2026-07-29T01:01:43Z</dcterms:created>
  <dcterms:modified xsi:type="dcterms:W3CDTF">2026-07-29T01:01:43Z</dcterms:modified>
</cp:coreProperties>
</file>

<file path=docProps/custom.xml><?xml version="1.0" encoding="utf-8"?>
<Properties xmlns="http://schemas.openxmlformats.org/officeDocument/2006/custom-properties" xmlns:vt="http://schemas.openxmlformats.org/officeDocument/2006/docPropsVTypes"/>
</file>