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907809cf377ef4f981967a7f25dea63bbc4c676"/>
    <w:p>
      <w:pPr>
        <w:pStyle w:val="Heading1"/>
      </w:pPr>
      <w:r>
        <w:t xml:space="preserve">Old Dominion Freight Line (ODFL)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ODFL enters tomorrow's report riding a strong stock move but a still-murky freight cycle. Shares have rallied sharply off their spring lows — from roughly $190 in early May to a June peak near $248 — before pulling back to the</w:t>
      </w:r>
      <w:r>
        <w:t xml:space="preserve"> </w:t>
      </w:r>
      <m:oMath>
        <m:r>
          <m:t>226</m:t>
        </m:r>
        <m:r>
          <m:rPr>
            <m:sty m:val="p"/>
          </m:rPr>
          <m:t>−</m:t>
        </m:r>
        <m:r>
          <m:t>232</m:t>
        </m:r>
        <m:r>
          <m:t>r</m:t>
        </m:r>
        <m:r>
          <m:t>a</m:t>
        </m:r>
        <m:r>
          <m:t>n</m:t>
        </m:r>
        <m:r>
          <m:t>g</m:t>
        </m:r>
        <m:r>
          <m:t>e</m:t>
        </m:r>
        <m:r>
          <m:t>o</m:t>
        </m:r>
        <m:r>
          <m:t>v</m:t>
        </m:r>
        <m:r>
          <m:t>e</m:t>
        </m:r>
        <m:r>
          <m:t>r</m:t>
        </m:r>
        <m:r>
          <m:t>t</m:t>
        </m:r>
        <m:r>
          <m:t>h</m:t>
        </m:r>
        <m:r>
          <m:t>e</m:t>
        </m:r>
        <m:r>
          <m:t>p</m:t>
        </m:r>
        <m:r>
          <m:t>a</m:t>
        </m:r>
        <m:r>
          <m:t>s</m:t>
        </m:r>
        <m:r>
          <m:t>t</m:t>
        </m:r>
        <m:r>
          <m:t>f</m:t>
        </m:r>
        <m:r>
          <m:t>e</m:t>
        </m:r>
        <m:r>
          <m:t>w</m:t>
        </m:r>
        <m:r>
          <m:t>w</m:t>
        </m:r>
        <m:r>
          <m:t>e</m:t>
        </m:r>
        <m:r>
          <m:t>e</m:t>
        </m:r>
        <m:r>
          <m:t>k</m:t>
        </m:r>
        <m:r>
          <m:t>s</m:t>
        </m:r>
        <m:r>
          <m:rPr>
            <m:sty m:val="p"/>
          </m:rPr>
          <m:t>.</m:t>
        </m:r>
        <m:r>
          <m:t>T</m:t>
        </m:r>
        <m:r>
          <m:t>h</m:t>
        </m:r>
        <m:r>
          <m:t>a</m:t>
        </m:r>
        <m:r>
          <m:t>t</m:t>
        </m:r>
        <m:r>
          <m:t>l</m:t>
        </m:r>
        <m:r>
          <m:t>e</m:t>
        </m:r>
        <m:r>
          <m:t>a</m:t>
        </m:r>
        <m:r>
          <m:t>v</m:t>
        </m:r>
        <m:r>
          <m:t>e</m:t>
        </m:r>
        <m:r>
          <m:t>s</m:t>
        </m:r>
        <m:r>
          <m:t>t</m:t>
        </m:r>
        <m:r>
          <m:t>h</m:t>
        </m:r>
        <m:r>
          <m:t>e</m:t>
        </m:r>
        <m:r>
          <m:t>s</m:t>
        </m:r>
        <m:r>
          <m:t>t</m:t>
        </m:r>
        <m:r>
          <m:t>o</m:t>
        </m:r>
        <m:r>
          <m:t>c</m:t>
        </m:r>
        <m:r>
          <m:t>k</m:t>
        </m:r>
        <m:r>
          <m:t>t</m:t>
        </m:r>
        <m:r>
          <m:t>r</m:t>
        </m:r>
        <m:r>
          <m:t>a</m:t>
        </m:r>
        <m:r>
          <m:t>d</m:t>
        </m:r>
        <m:r>
          <m:t>i</m:t>
        </m:r>
        <m:r>
          <m:t>n</m:t>
        </m:r>
        <m:r>
          <m:t>g</m:t>
        </m:r>
        <m:r>
          <m:t>r</m:t>
        </m:r>
        <m:r>
          <m:t>o</m:t>
        </m:r>
        <m:r>
          <m:t>u</m:t>
        </m:r>
        <m:r>
          <m:t>g</m:t>
        </m:r>
        <m:r>
          <m:t>h</m:t>
        </m:r>
        <m:r>
          <m:t>l</m:t>
        </m:r>
        <m:r>
          <m:t>y</m:t>
        </m:r>
        <m:r>
          <m:t>i</m:t>
        </m:r>
        <m:r>
          <m:t>n</m:t>
        </m:r>
        <m:r>
          <m:t>l</m:t>
        </m:r>
        <m:r>
          <m:t>i</m:t>
        </m:r>
        <m:r>
          <m:t>n</m:t>
        </m:r>
        <m:r>
          <m:t>e</m:t>
        </m:r>
        <m:r>
          <m:t>w</m:t>
        </m:r>
        <m:r>
          <m:t>i</m:t>
        </m:r>
        <m:r>
          <m:t>t</m:t>
        </m:r>
        <m:r>
          <m:t>h</m:t>
        </m:r>
        <m:r>
          <m:rPr>
            <m:sty m:val="p"/>
          </m:rPr>
          <m:t>,</m:t>
        </m:r>
        <m:r>
          <m:t>o</m:t>
        </m:r>
        <m:r>
          <m:t>r</m:t>
        </m:r>
        <m:r>
          <m:t>s</m:t>
        </m:r>
        <m:r>
          <m:t>l</m:t>
        </m:r>
        <m:r>
          <m:t>i</m:t>
        </m:r>
        <m:r>
          <m:t>g</m:t>
        </m:r>
        <m:r>
          <m:t>h</m:t>
        </m:r>
        <m:r>
          <m:t>t</m:t>
        </m:r>
        <m:r>
          <m:t>l</m:t>
        </m:r>
        <m:r>
          <m:t>y</m:t>
        </m:r>
        <m:r>
          <m:t>a</m:t>
        </m:r>
        <m:r>
          <m:t>b</m:t>
        </m:r>
        <m:r>
          <m:t>o</m:t>
        </m:r>
        <m:r>
          <m:t>v</m:t>
        </m:r>
        <m:r>
          <m:t>e</m:t>
        </m:r>
        <m:r>
          <m:rPr>
            <m:sty m:val="p"/>
          </m:rPr>
          <m:t>,</m:t>
        </m:r>
        <m:r>
          <m:t>t</m:t>
        </m:r>
        <m:r>
          <m:t>h</m:t>
        </m:r>
        <m:r>
          <m:t>e</m:t>
        </m:r>
        <m:r>
          <m:t>a</m:t>
        </m:r>
        <m:r>
          <m:t>v</m:t>
        </m:r>
        <m:r>
          <m:t>e</m:t>
        </m:r>
        <m:r>
          <m:t>r</m:t>
        </m:r>
        <m:r>
          <m:t>a</m:t>
        </m:r>
        <m:r>
          <m:t>g</m:t>
        </m:r>
        <m:r>
          <m:t>e</m:t>
        </m:r>
        <m:r>
          <m:t>s</m:t>
        </m:r>
        <m:r>
          <m:t>e</m:t>
        </m:r>
        <m:r>
          <m:t>l</m:t>
        </m:r>
        <m:r>
          <m:t>l</m:t>
        </m:r>
        <m:r>
          <m:rPr>
            <m:sty m:val="p"/>
          </m:rPr>
          <m:t>−</m:t>
        </m:r>
        <m:r>
          <m:t>s</m:t>
        </m:r>
        <m:r>
          <m:t>i</m:t>
        </m:r>
        <m:r>
          <m:t>d</m:t>
        </m:r>
        <m:r>
          <m:t>e</m:t>
        </m:r>
        <m:r>
          <m:t>p</m:t>
        </m:r>
        <m:r>
          <m:t>r</m:t>
        </m:r>
        <m:r>
          <m:t>i</m:t>
        </m:r>
        <m:r>
          <m:t>c</m:t>
        </m:r>
        <m:r>
          <m:t>e</m:t>
        </m:r>
        <m:r>
          <m:t>t</m:t>
        </m:r>
        <m:r>
          <m:t>a</m:t>
        </m:r>
        <m:r>
          <m:t>r</m:t>
        </m:r>
        <m:r>
          <m:t>g</m:t>
        </m:r>
        <m:r>
          <m:t>e</m:t>
        </m:r>
        <m:r>
          <m:t>t</m:t>
        </m:r>
        <m:r>
          <m:rPr>
            <m:sty m:val="p"/>
          </m:rPr>
          <m:t>(</m:t>
        </m:r>
        <m:r>
          <m:t> </m:t>
        </m:r>
      </m:oMath>
      <w:r>
        <w:t xml:space="preserve">222-$231), suggesting the market has already priced in a constructive quarter and leaving less room for disappointment.</w:t>
      </w:r>
    </w:p>
    <w:p>
      <w:pPr>
        <w:pStyle w:val="BodyText"/>
      </w:pPr>
      <w:r>
        <w:t xml:space="preserve">Sentiment has turned more positive recently: Evercore ISI upgraded the stock to Outperform on a more constructive less-than-truckload cycle view, and consensus estimates have been revised upward over the past 60 days. Zacks' current consensus calls for</w:t>
      </w:r>
      <w:r>
        <w:t xml:space="preserve"> </w:t>
      </w:r>
      <w:r>
        <w:rPr>
          <w:b/>
          <w:bCs/>
        </w:rPr>
        <w:t xml:space="preserve">Q2 EPS of ~</w:t>
      </w:r>
      <m:oMath>
        <m:r>
          <m:t>1.52</m:t>
        </m:r>
        <m:r>
          <m:rPr>
            <m:sty m:val="p"/>
          </m:rPr>
          <m:t>*</m:t>
        </m:r>
        <m:r>
          <m:rPr>
            <m:sty m:val="p"/>
          </m:rPr>
          <m:t>*</m:t>
        </m:r>
        <m:r>
          <m:rPr>
            <m:sty m:val="p"/>
          </m:rPr>
          <m:t>(</m:t>
        </m:r>
        <m:r>
          <m:t>u</m:t>
        </m:r>
        <m:r>
          <m:t>p</m:t>
        </m:r>
        <m:r>
          <m:t> </m:t>
        </m:r>
        <m:r>
          <m:t>20</m:t>
        </m:r>
      </m:oMath>
      <w:r>
        <w:rPr>
          <w:b/>
          <w:bCs/>
        </w:rPr>
        <w:t xml:space="preserve">1.53 billion</w:t>
      </w:r>
      <w:r>
        <w:t xml:space="preserve"> </w:t>
      </w:r>
      <w:r>
        <w:t xml:space="preserve">(up ~8.9% y/y), while other trackers show slightly lower estimates near $1.47 EPS — the spread itself reflects how quickly numbers have been moving up into the print. Full-year 2026 consensus EPS sits around $5.44, implying continued acceleration in H2.</w:t>
      </w:r>
    </w:p>
    <w:bookmarkEnd w:id="9"/>
    <w:bookmarkStart w:id="10" w:name="X223f82275284bcf981f24ae72d96762b39a7e0e"/>
    <w:p>
      <w:pPr>
        <w:pStyle w:val="Heading2"/>
      </w:pPr>
      <w:r>
        <w:t xml:space="preserve">What Happened Last Quarter (Q1 2026) — The Baseline</w:t>
      </w:r>
    </w:p>
    <w:p>
      <w:pPr>
        <w:pStyle w:val="FirstParagraph"/>
      </w:pPr>
      <w:r>
        <w:t xml:space="preserve">Q1 was a "tale of two halves." Total revenue fell 2.9% y/y to $1.33 billion as LTL tons per day dropped 7.7%, but demand for the company's service improved as the quarter progressed, contributing to an acceleration in LTL volumes with strong sequential tonnage growth in February and March. Pricing discipline remained the offset: LTL revenue per hundredweight increased 5.7%, or 4.4% excluding fuel surcharges, reflecting the company's long-term disciplined approach to yield management. Operating ratio ticked up 80bps y/y to 76.2%, with management noting the increase in overhead cost as a percent of revenue more than offset the improvement in direct cost, driven by deleveraging and higher G&amp;A.</w:t>
      </w:r>
    </w:p>
    <w:p>
      <w:pPr>
        <w:pStyle w:val="BodyText"/>
      </w:pPr>
      <w:r>
        <w:t xml:space="preserve">Management's Q2 OR framework set the bar: the 10-year average change for the operating ratio is a 300 to 350 basis point improvement from the first to the second quarter, and management said it was comfortable with that range assuming continued sequential volume improvement. CFO Adam Satterfield flagged specific headwinds to watch — fringe benefit costs, which came in better than forecast in Q1 but are expected to be a headwind for the full quarter, plus fuel-driven variable cost inflation. He explicitly pointed investors to the</w:t>
      </w:r>
      <w:r>
        <w:t xml:space="preserve"> </w:t>
      </w:r>
      <w:r>
        <w:rPr>
          <w:b/>
          <w:bCs/>
        </w:rPr>
        <w:t xml:space="preserve">Q1-to-Q2 2022 comparison</w:t>
      </w:r>
      <w:r>
        <w:t xml:space="preserve"> </w:t>
      </w:r>
      <w:r>
        <w:t xml:space="preserve">(a period of a sharp fuel spike) as the best analog for this year's transition, given the magnitude of the diesel price increase.</w:t>
      </w:r>
    </w:p>
    <w:bookmarkEnd w:id="10"/>
    <w:bookmarkStart w:id="11" w:name="X702e33fb0fa7b6226c3382ddda85a643e65707f"/>
    <w:p>
      <w:pPr>
        <w:pStyle w:val="Heading2"/>
      </w:pPr>
      <w:r>
        <w:t xml:space="preserve">Intra-Quarter Trends: Volumes Soft, Pricing Very Strong</w:t>
      </w:r>
    </w:p>
    <w:p>
      <w:pPr>
        <w:pStyle w:val="FirstParagraph"/>
      </w:pPr>
      <w:r>
        <w:t xml:space="preserve">ODFL's monthly operating updates give a clean read into how Q2 actually tracked:</w:t>
      </w:r>
    </w:p>
    <w:p>
      <w:pPr>
        <w:pStyle w:val="Compact"/>
        <w:numPr>
          <w:ilvl w:val="0"/>
          <w:numId w:val="1001"/>
        </w:numPr>
      </w:pPr>
      <w:r>
        <w:rPr>
          <w:b/>
          <w:bCs/>
        </w:rPr>
        <w:t xml:space="preserve">April 2026:</w:t>
      </w:r>
      <w:r>
        <w:t xml:space="preserve"> </w:t>
      </w:r>
      <w:r>
        <w:t xml:space="preserve">Revenue per day +7.6% y/y; LTL revenue per hundredweight +14.6% (+4.7% ex-fuel); LTL tons per day -6.1% (shipments per day -7.5%, weight per shipment +1.4%).</w:t>
      </w:r>
    </w:p>
    <w:p>
      <w:pPr>
        <w:pStyle w:val="Compact"/>
        <w:numPr>
          <w:ilvl w:val="0"/>
          <w:numId w:val="1001"/>
        </w:numPr>
      </w:pPr>
      <w:r>
        <w:rPr>
          <w:b/>
          <w:bCs/>
        </w:rPr>
        <w:t xml:space="preserve">May 2026:</w:t>
      </w:r>
      <w:r>
        <w:t xml:space="preserve"> </w:t>
      </w:r>
      <w:r>
        <w:t xml:space="preserve">Revenue per day +12.3% y/y, driven by higher revenue per hundredweight even as LTL tons per day fell 3.8% (shipments per day -5.3%, weight per shipment +1.6%).</w:t>
      </w:r>
    </w:p>
    <w:p>
      <w:pPr>
        <w:pStyle w:val="Compact"/>
        <w:numPr>
          <w:ilvl w:val="0"/>
          <w:numId w:val="1001"/>
        </w:numPr>
      </w:pPr>
      <w:r>
        <w:rPr>
          <w:b/>
          <w:bCs/>
        </w:rPr>
        <w:t xml:space="preserve">April+May combined (quarter-to-date as of the May update):</w:t>
      </w:r>
      <w:r>
        <w:t xml:space="preserve"> </w:t>
      </w:r>
      <w:r>
        <w:t xml:space="preserve">LTL revenue per hundredweight +15.6% (+5.4% ex-fuel surcharges) y/y.</w:t>
      </w:r>
    </w:p>
    <w:p>
      <w:pPr>
        <w:pStyle w:val="FirstParagraph"/>
      </w:pPr>
      <w:r>
        <w:t xml:space="preserve">The pattern is consistent:</w:t>
      </w:r>
      <w:r>
        <w:t xml:space="preserve"> </w:t>
      </w:r>
      <w:r>
        <w:rPr>
          <w:b/>
          <w:bCs/>
        </w:rPr>
        <w:t xml:space="preserve">tonnage/shipment counts remain negative year-over-year, but the decline is narrowing sequentially, weight per shipment is inflecting positive (a leading indicator of demand), and yield/pricing is accelerating</w:t>
      </w:r>
      <w:r>
        <w:t xml:space="preserve"> </w:t>
      </w:r>
      <w:r>
        <w:t xml:space="preserve">— helped both by disciplined yield management and by a much larger fuel surcharge tailwind given higher diesel prices this year. Investors should watch the June exit rate and full Q2 tonnage figure to see whether the sequential improvement trajectory from Q1 (Jan down, Feb/March up sharply) carried through, and whether tons per day can finally turn positive y/y later in the year as management hopes.</w:t>
      </w:r>
    </w:p>
    <w:bookmarkEnd w:id="11"/>
    <w:bookmarkStart w:id="12" w:name="key-themes-to-watch-on-the-call"/>
    <w:p>
      <w:pPr>
        <w:pStyle w:val="Heading2"/>
      </w:pPr>
      <w:r>
        <w:t xml:space="preserve">Key Themes to Watch on the Call</w:t>
      </w:r>
    </w:p>
    <w:p>
      <w:pPr>
        <w:pStyle w:val="Compact"/>
        <w:numPr>
          <w:ilvl w:val="0"/>
          <w:numId w:val="1002"/>
        </w:numPr>
      </w:pPr>
      <w:r>
        <w:rPr>
          <w:b/>
          <w:bCs/>
        </w:rPr>
        <w:t xml:space="preserve">Operating ratio delivery vs. the 300-350bp seasonal norm.</w:t>
      </w:r>
      <w:r>
        <w:t xml:space="preserve"> </w:t>
      </w:r>
      <w:r>
        <w:t xml:space="preserve">Given the stronger-than-normal fuel/pricing tailwind but flagged fringe-benefit and variable-cost headwinds, the OR print (and any incremental commentary on Q3 seasonality) will be the central swing factor for the stock reaction.</w:t>
      </w:r>
    </w:p>
    <w:p>
      <w:pPr>
        <w:pStyle w:val="Compact"/>
        <w:numPr>
          <w:ilvl w:val="0"/>
          <w:numId w:val="1002"/>
        </w:numPr>
      </w:pPr>
      <w:r>
        <w:rPr>
          <w:b/>
          <w:bCs/>
        </w:rPr>
        <w:t xml:space="preserve">Fuel surcharge distortion.</w:t>
      </w:r>
      <w:r>
        <w:t xml:space="preserve"> </w:t>
      </w:r>
      <w:r>
        <w:t xml:space="preserve">With revenue per hundredweight up mid-teens on a reported basis but mid-single-digits ex-fuel, analysts will want clarity on how much of the "growth" is fuel pass-through versus genuine base-rate/yield strength, and the associated cost-side drag from fuel-linked expenses.</w:t>
      </w:r>
    </w:p>
    <w:p>
      <w:pPr>
        <w:pStyle w:val="Compact"/>
        <w:numPr>
          <w:ilvl w:val="0"/>
          <w:numId w:val="1002"/>
        </w:numPr>
      </w:pPr>
      <w:r>
        <w:rPr>
          <w:b/>
          <w:bCs/>
        </w:rPr>
        <w:t xml:space="preserve">Truckload-to-LTL freight reversal.</w:t>
      </w:r>
      <w:r>
        <w:t xml:space="preserve"> </w:t>
      </w:r>
      <w:r>
        <w:t xml:space="preserve">Management said business that shippers had diverted to truckload via load-consolidation/mode optimization over the past couple of years has started reversing as the truckload market tightens, and it expects this to be a tailwind as demand improves. Update on how much this contributed in Q2 will matter for the market-share narrative.</w:t>
      </w:r>
    </w:p>
    <w:p>
      <w:pPr>
        <w:pStyle w:val="Compact"/>
        <w:numPr>
          <w:ilvl w:val="0"/>
          <w:numId w:val="1002"/>
        </w:numPr>
      </w:pPr>
      <w:r>
        <w:rPr>
          <w:b/>
          <w:bCs/>
        </w:rPr>
        <w:t xml:space="preserve">Industrial vs. retail freight mix.</w:t>
      </w:r>
      <w:r>
        <w:t xml:space="preserve"> </w:t>
      </w:r>
      <w:r>
        <w:t xml:space="preserve">Most of the positive volume performance over the prior five months had been concentrated in retail-related freight, with early signs in March of industrial freight — which typically carries heavier weight per shipment — starting to turn the corner. A pickup in industrial freight would be a bullish signal for both volume and mix/yield.</w:t>
      </w:r>
    </w:p>
    <w:p>
      <w:pPr>
        <w:pStyle w:val="Compact"/>
        <w:numPr>
          <w:ilvl w:val="0"/>
          <w:numId w:val="1002"/>
        </w:numPr>
      </w:pPr>
      <w:r>
        <w:rPr>
          <w:b/>
          <w:bCs/>
        </w:rPr>
        <w:t xml:space="preserve">Competitive landscape</w:t>
      </w:r>
      <w:r>
        <w:t xml:space="preserve"> </w:t>
      </w:r>
      <w:r>
        <w:t xml:space="preserve">— FedEx Freight's spin-off/dual-service strategy, ArcBest's July restructuring (2% workforce cut, brand consolidation, ~$40M targeted annualized savings) and general commentary from Saia/XPO all point to a still-uneven LTL demand environment; ODFL has repeatedly emphasized its service-quality gap (99% on-time, claims ratio below 0.1%, top Mastio rankings) as the reason it should keep winning share disproportionately in the next up-cycle, much as it has over the last decade.</w:t>
      </w:r>
    </w:p>
    <w:p>
      <w:pPr>
        <w:pStyle w:val="Compact"/>
        <w:numPr>
          <w:ilvl w:val="0"/>
          <w:numId w:val="1002"/>
        </w:numPr>
      </w:pPr>
      <w:r>
        <w:rPr>
          <w:b/>
          <w:bCs/>
        </w:rPr>
        <w:t xml:space="preserve">Capital allocation</w:t>
      </w:r>
      <w:r>
        <w:t xml:space="preserve"> </w:t>
      </w:r>
      <w:r>
        <w:t xml:space="preserve">— Track record: $265 million planned 2026 capex (well below the historical 10-15%-of-revenue range as the company digests prior investment), $1.45 billion remaining under the $3.0 billion buyback authorization, and a dividend just raised to $0.29/quarter (declared July 23). Watch for any updated capex framework for 2027 given management's comments about being "ready to grow" into the next cycle.</w:t>
      </w:r>
    </w:p>
    <w:p>
      <w:pPr>
        <w:pStyle w:val="Compact"/>
        <w:numPr>
          <w:ilvl w:val="0"/>
          <w:numId w:val="1002"/>
        </w:numPr>
      </w:pPr>
      <w:r>
        <w:rPr>
          <w:b/>
          <w:bCs/>
        </w:rPr>
        <w:t xml:space="preserve">Peer read-throughs:</w:t>
      </w:r>
      <w:r>
        <w:t xml:space="preserve"> </w:t>
      </w:r>
      <w:r>
        <w:t xml:space="preserve">Knight-Swift posted +12.6% y/y revenue growth (beating estimates by ~2%) and Ryder grew revenue +5% (beating by ~1.3%), yet both stocks traded down post-print (-4.9% and -3.1% respectively) — a reminder that in this tape, beating the number may not be sufficient if forward commentary disappoints or valuations are already stretched.</w:t>
      </w:r>
    </w:p>
    <w:bookmarkEnd w:id="12"/>
    <w:bookmarkStart w:id="13" w:name="bottom-line-for-investors"/>
    <w:p>
      <w:pPr>
        <w:pStyle w:val="Heading2"/>
      </w:pPr>
      <w:r>
        <w:t xml:space="preserve">Bottom Line for Investors</w:t>
      </w:r>
    </w:p>
    <w:p>
      <w:pPr>
        <w:pStyle w:val="FirstParagraph"/>
      </w:pPr>
      <w:r>
        <w:t xml:space="preserve">The setup is a classic "priced for perfection" situation: consensus numbers have been moving up, an analyst upgrade has added to bullish sentiment, and the stock is trading near/above average price targets after a ~47% year-to-date run. The fundamental story — accelerating pricing/yield, narrowing tonnage declines, a widening service gap over peers, and optionality from a truckload-to-LTL freight reversal — is intact and improving. But with volumes still negative year-over-year, fuel-cost headwinds explicitly flagged by management, and a high bar for the operating ratio improvement, the market's reaction will likely hinge less on the reported EPS/revenue beat itself and more on (1) the OR trajectory relative to the 300-350bp seasonal norm, (2) tonnage trends exiting June and into July, and (3) management's tone on the pace of the eventual up-cycle inflection.</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2026-07-29T00:58:03Z</dcterms:created>
  <dcterms:modified xsi:type="dcterms:W3CDTF">2026-07-29T00:58:03Z</dcterms:modified>
</cp:coreProperties>
</file>

<file path=docProps/custom.xml><?xml version="1.0" encoding="utf-8"?>
<Properties xmlns="http://schemas.openxmlformats.org/officeDocument/2006/custom-properties" xmlns:vt="http://schemas.openxmlformats.org/officeDocument/2006/docPropsVTypes"/>
</file>