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odfl-q2-2026-earnings-preview"/>
    <w:p>
      <w:pPr>
        <w:pStyle w:val="Heading1"/>
      </w:pPr>
      <w:r>
        <w:t xml:space="preserve">ODFL Q2 2026 Earnings Preview</w:t>
      </w:r>
    </w:p>
    <w:p>
      <w:pPr>
        <w:pStyle w:val="BlockText"/>
      </w:pPr>
      <w:r>
        <w:rPr>
          <w:b/>
          <w:bCs/>
        </w:rPr>
        <w:t xml:space="preserve">Timing correction:</w:t>
      </w:r>
      <w:r>
        <w:t xml:space="preserve"> </w:t>
      </w:r>
      <w:r>
        <w:t xml:space="preserve">Old Dominion Freight Line is scheduled to release Q2 results</w:t>
      </w:r>
      <w:r>
        <w:t xml:space="preserve"> </w:t>
      </w:r>
      <w:r>
        <w:rPr>
          <w:b/>
          <w:bCs/>
        </w:rPr>
        <w:t xml:space="preserve">before the market opens today, Wednesday, July 29, 2026</w:t>
      </w:r>
      <w:r>
        <w:t xml:space="preserve">, followed by its conference call at</w:t>
      </w:r>
      <w:r>
        <w:t xml:space="preserve"> </w:t>
      </w:r>
      <w:r>
        <w:rPr>
          <w:b/>
          <w:bCs/>
        </w:rPr>
        <w:t xml:space="preserve">10:00 a.m. ET</w:t>
      </w:r>
      <w:r>
        <w:t xml:space="preserve">. The event is not tomorrow if the stated event date of July 29 is correct. (</w:t>
      </w:r>
      <w:hyperlink r:id="rId9">
        <w:r>
          <w:rPr>
            <w:rStyle w:val="Hyperlink"/>
          </w:rPr>
          <w:t xml:space="preserve">ir.odfl.com</w:t>
        </w:r>
      </w:hyperlink>
      <w:r>
        <w:t xml:space="preserve">)</w:t>
      </w:r>
    </w:p>
    <w:bookmarkStart w:id="10" w:name="investment-view-going-into-the-report"/>
    <w:p>
      <w:pPr>
        <w:pStyle w:val="Heading2"/>
      </w:pPr>
      <w:r>
        <w:t xml:space="preserve">Investment view going into the report</w:t>
      </w:r>
    </w:p>
    <w:p>
      <w:pPr>
        <w:pStyle w:val="FirstParagraph"/>
      </w:pPr>
      <w:r>
        <w:t xml:space="preserve">ODFL should report a substantial year-over-year rebound in revenue and earnings, helped by strong pricing, higher fuel surcharges, easier comparisons and sequential margin improvement. But the headline numbers are not the central debate.</w:t>
      </w:r>
    </w:p>
    <w:p>
      <w:pPr>
        <w:pStyle w:val="BodyText"/>
      </w:pPr>
      <w:r>
        <w:t xml:space="preserve">The key question is whether</w:t>
      </w:r>
      <w:r>
        <w:t xml:space="preserve"> </w:t>
      </w:r>
      <w:r>
        <w:rPr>
          <w:b/>
          <w:bCs/>
        </w:rPr>
        <w:t xml:space="preserve">underlying shipment demand is finally turning—or whether ODFL is producing growth mainly through price and fuel while volumes continue to trail competitors</w:t>
      </w:r>
      <w:r>
        <w:t xml:space="preserve">. Given the stock’s strong 2026 performance and premium valuation, investors will probably require evidence that shipment growth and market-share gains are approaching, not merely another quarter of excellent yield discipline.</w:t>
      </w:r>
    </w:p>
    <w:bookmarkEnd w:id="10"/>
    <w:bookmarkStart w:id="12" w:name="expectations-and-reference-points"/>
    <w:p>
      <w:pPr>
        <w:pStyle w:val="Heading2"/>
      </w:pPr>
      <w:r>
        <w:t xml:space="preserve">Expectations and reference points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expectation/framework</w:t>
            </w:r>
          </w:p>
        </w:tc>
        <w:tc>
          <w:tcPr/>
          <w:p>
            <w:pPr>
              <w:pStyle w:val="Compact"/>
              <w:jc w:val="right"/>
            </w:pPr>
            <w:r>
              <w:t xml:space="preserve">Q2 2025</w:t>
            </w:r>
          </w:p>
        </w:tc>
        <w:tc>
          <w:tcPr/>
          <w:p>
            <w:pPr>
              <w:pStyle w:val="Compact"/>
            </w:pPr>
            <w:r>
              <w:t xml:space="preserve">What matters</w:t>
            </w:r>
          </w:p>
        </w:tc>
      </w:tr>
      <w:tr>
        <w:tc>
          <w:tcPr/>
          <w:p>
            <w:pPr>
              <w:pStyle w:val="Compact"/>
            </w:pPr>
            <w:r>
              <w:t xml:space="preserve">Revenue</w:t>
            </w:r>
          </w:p>
        </w:tc>
        <w:tc>
          <w:tcPr/>
          <w:p>
            <w:pPr>
              <w:pStyle w:val="Compact"/>
              <w:jc w:val="right"/>
            </w:pPr>
            <w:r>
              <w:t xml:space="preserve">Approximately</w:t>
            </w:r>
            <w:r>
              <w:t xml:space="preserve"> </w:t>
            </w:r>
            <w:r>
              <w:rPr>
                <w:b/>
                <w:bCs/>
              </w:rPr>
              <w:t xml:space="preserve">$1.55 billion</w:t>
            </w:r>
          </w:p>
        </w:tc>
        <w:tc>
          <w:tcPr/>
          <w:p>
            <w:pPr>
              <w:pStyle w:val="Compact"/>
              <w:jc w:val="right"/>
            </w:pPr>
            <w:r>
              <w:t xml:space="preserve">$1.408 billion</w:t>
            </w:r>
          </w:p>
        </w:tc>
        <w:tc>
          <w:tcPr/>
          <w:p>
            <w:pPr>
              <w:pStyle w:val="Compact"/>
            </w:pPr>
            <w:r>
              <w:t xml:space="preserve">Roughly 10% year-over-year growth</w:t>
            </w:r>
          </w:p>
        </w:tc>
      </w:tr>
      <w:tr>
        <w:tc>
          <w:tcPr/>
          <w:p>
            <w:pPr>
              <w:pStyle w:val="Compact"/>
            </w:pPr>
            <w:r>
              <w:t xml:space="preserve">Diluted EPS</w:t>
            </w:r>
          </w:p>
        </w:tc>
        <w:tc>
          <w:tcPr/>
          <w:p>
            <w:pPr>
              <w:pStyle w:val="Compact"/>
              <w:jc w:val="right"/>
            </w:pPr>
            <w:r>
              <w:t xml:space="preserve">Approximately</w:t>
            </w:r>
            <w:r>
              <w:t xml:space="preserve"> </w:t>
            </w:r>
            <m:oMath>
              <m:r>
                <m:t>1.52</m:t>
              </m:r>
              <m:r>
                <m:rPr>
                  <m:sty m:val="p"/>
                </m:rPr>
                <m:t>–</m:t>
              </m:r>
            </m:oMath>
            <w:r>
              <w:rPr>
                <w:b/>
                <w:bCs/>
              </w:rPr>
              <w:t xml:space="preserve">1.54</w:t>
            </w:r>
          </w:p>
        </w:tc>
        <w:tc>
          <w:tcPr/>
          <w:p>
            <w:pPr>
              <w:pStyle w:val="Compact"/>
              <w:jc w:val="right"/>
            </w:pPr>
            <w:r>
              <w:t xml:space="preserve">$1.27</w:t>
            </w:r>
          </w:p>
        </w:tc>
        <w:tc>
          <w:tcPr/>
          <w:p>
            <w:pPr>
              <w:pStyle w:val="Compact"/>
            </w:pPr>
            <w:r>
              <w:t xml:space="preserve">Roughly 20% year-over-year growth</w:t>
            </w:r>
          </w:p>
        </w:tc>
      </w:tr>
      <w:tr>
        <w:tc>
          <w:tcPr/>
          <w:p>
            <w:pPr>
              <w:pStyle w:val="Compact"/>
            </w:pPr>
            <w:r>
              <w:t xml:space="preserve">Operating ratio</w:t>
            </w:r>
          </w:p>
        </w:tc>
        <w:tc>
          <w:tcPr/>
          <w:p>
            <w:pPr>
              <w:pStyle w:val="Compact"/>
              <w:jc w:val="right"/>
            </w:pPr>
            <w:r>
              <w:t xml:space="preserve">Management’s Q1 framework implied approximately</w:t>
            </w:r>
            <w:r>
              <w:t xml:space="preserve"> </w:t>
            </w:r>
            <w:r>
              <w:rPr>
                <w:b/>
                <w:bCs/>
              </w:rPr>
              <w:t xml:space="preserve">72.7%–73.2%</w:t>
            </w:r>
          </w:p>
        </w:tc>
        <w:tc>
          <w:tcPr/>
          <w:p>
            <w:pPr>
              <w:pStyle w:val="Compact"/>
              <w:jc w:val="right"/>
            </w:pPr>
            <w:r>
              <w:t xml:space="preserve">74.6%</w:t>
            </w:r>
          </w:p>
        </w:tc>
        <w:tc>
          <w:tcPr/>
          <w:p>
            <w:pPr>
              <w:pStyle w:val="Compact"/>
            </w:pPr>
            <w:r>
              <w:t xml:space="preserve">Whether ODFL captures normal seasonal leverage</w:t>
            </w:r>
          </w:p>
        </w:tc>
      </w:tr>
      <w:tr>
        <w:tc>
          <w:tcPr/>
          <w:p>
            <w:pPr>
              <w:pStyle w:val="Compact"/>
            </w:pPr>
            <w:r>
              <w:t xml:space="preserve">LTL tons/day</w:t>
            </w:r>
          </w:p>
        </w:tc>
        <w:tc>
          <w:tcPr/>
          <w:p>
            <w:pPr>
              <w:pStyle w:val="Compact"/>
              <w:jc w:val="right"/>
            </w:pPr>
            <w:r>
              <w:t xml:space="preserve">Likely still down year over year</w:t>
            </w:r>
          </w:p>
        </w:tc>
        <w:tc>
          <w:tcPr/>
          <w:p>
            <w:pPr>
              <w:pStyle w:val="Compact"/>
              <w:jc w:val="right"/>
            </w:pPr>
            <w:r>
              <w:t xml:space="preserve">-9.3%</w:t>
            </w:r>
          </w:p>
        </w:tc>
        <w:tc>
          <w:tcPr/>
          <w:p>
            <w:pPr>
              <w:pStyle w:val="Compact"/>
            </w:pPr>
            <w:r>
              <w:t xml:space="preserve">June’s trajectory is more important than the quarterly average</w:t>
            </w:r>
          </w:p>
        </w:tc>
      </w:tr>
      <w:tr>
        <w:tc>
          <w:tcPr/>
          <w:p>
            <w:pPr>
              <w:pStyle w:val="Compact"/>
            </w:pPr>
            <w:r>
              <w:t xml:space="preserve">Yield ex-fuel</w:t>
            </w:r>
          </w:p>
        </w:tc>
        <w:tc>
          <w:tcPr/>
          <w:p>
            <w:pPr>
              <w:pStyle w:val="Compact"/>
              <w:jc w:val="right"/>
            </w:pPr>
            <w:r>
              <w:t xml:space="preserve">QTD through May:</w:t>
            </w:r>
            <w:r>
              <w:t xml:space="preserve"> </w:t>
            </w:r>
            <w:r>
              <w:rPr>
                <w:b/>
                <w:bCs/>
              </w:rPr>
              <w:t xml:space="preserve">+5.4%</w:t>
            </w:r>
          </w:p>
        </w:tc>
        <w:tc>
          <w:tcPr/>
          <w:p>
            <w:pPr>
              <w:pStyle w:val="Compact"/>
              <w:jc w:val="right"/>
            </w:pPr>
            <w:r>
              <w:t xml:space="preserve">+5.3%</w:t>
            </w:r>
          </w:p>
        </w:tc>
        <w:tc>
          <w:tcPr/>
          <w:p>
            <w:pPr>
              <w:pStyle w:val="Compact"/>
            </w:pPr>
            <w:r>
              <w:t xml:space="preserve">Sustainability and contribution to revenue per shipment</w:t>
            </w:r>
          </w:p>
        </w:tc>
      </w:tr>
    </w:tbl>
    <w:p>
      <w:pPr>
        <w:pStyle w:val="BodyText"/>
      </w:pPr>
      <w:r>
        <w:t xml:space="preserve">Current third-party consensus sources cluster around</w:t>
      </w:r>
      <w:r>
        <w:t xml:space="preserve"> </w:t>
      </w:r>
      <m:oMath>
        <m:r>
          <m:t>1.52</m:t>
        </m:r>
        <m:r>
          <m:rPr>
            <m:sty m:val="p"/>
          </m:rPr>
          <m:t>–</m:t>
        </m:r>
      </m:oMath>
      <w:r>
        <w:t xml:space="preserve">1.54 of EPS and roughly $1.55 billion of revenue. (</w:t>
      </w:r>
      <w:hyperlink r:id="rId11">
        <w:r>
          <w:rPr>
            <w:rStyle w:val="Hyperlink"/>
          </w:rPr>
          <w:t xml:space="preserve">tipranks.com</w:t>
        </w:r>
      </w:hyperlink>
      <w:r>
        <w:t xml:space="preserve">)</w:t>
      </w:r>
    </w:p>
    <w:bookmarkEnd w:id="12"/>
    <w:bookmarkStart w:id="14" w:name="X52f8cb49da6307ae23164cbeff57948ebe91dfa"/>
    <w:p>
      <w:pPr>
        <w:pStyle w:val="Heading2"/>
      </w:pPr>
      <w:r>
        <w:t xml:space="preserve">What the quarter-to-date data already tell us</w:t>
      </w:r>
    </w:p>
    <w:p>
      <w:pPr>
        <w:pStyle w:val="FirstParagraph"/>
      </w:pPr>
      <w:r>
        <w:t xml:space="preserve">ODFL entered the report with clear improvement between April and May: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Year-over-year change</w:t>
            </w:r>
          </w:p>
        </w:tc>
        <w:tc>
          <w:tcPr/>
          <w:p>
            <w:pPr>
              <w:pStyle w:val="Compact"/>
              <w:jc w:val="right"/>
            </w:pPr>
            <w:r>
              <w:t xml:space="preserve">April 2026</w:t>
            </w:r>
          </w:p>
        </w:tc>
        <w:tc>
          <w:tcPr/>
          <w:p>
            <w:pPr>
              <w:pStyle w:val="Compact"/>
              <w:jc w:val="right"/>
            </w:pPr>
            <w:r>
              <w:t xml:space="preserve">May 2026</w:t>
            </w:r>
          </w:p>
        </w:tc>
      </w:tr>
      <w:tr>
        <w:tc>
          <w:tcPr/>
          <w:p>
            <w:pPr>
              <w:pStyle w:val="Compact"/>
            </w:pPr>
            <w:r>
              <w:t xml:space="preserve">Revenue per day</w:t>
            </w:r>
          </w:p>
        </w:tc>
        <w:tc>
          <w:tcPr/>
          <w:p>
            <w:pPr>
              <w:pStyle w:val="Compact"/>
              <w:jc w:val="right"/>
            </w:pPr>
            <w:r>
              <w:rPr>
                <w:b/>
                <w:bCs/>
              </w:rPr>
              <w:t xml:space="preserve">+7.6%</w:t>
            </w:r>
          </w:p>
        </w:tc>
        <w:tc>
          <w:tcPr/>
          <w:p>
            <w:pPr>
              <w:pStyle w:val="Compact"/>
              <w:jc w:val="right"/>
            </w:pPr>
            <w:r>
              <w:rPr>
                <w:b/>
                <w:bCs/>
              </w:rPr>
              <w:t xml:space="preserve">+12.3%</w:t>
            </w:r>
          </w:p>
        </w:tc>
      </w:tr>
      <w:tr>
        <w:tc>
          <w:tcPr/>
          <w:p>
            <w:pPr>
              <w:pStyle w:val="Compact"/>
            </w:pPr>
            <w:r>
              <w:t xml:space="preserve">LTL tons per day</w:t>
            </w:r>
          </w:p>
        </w:tc>
        <w:tc>
          <w:tcPr/>
          <w:p>
            <w:pPr>
              <w:pStyle w:val="Compact"/>
              <w:jc w:val="right"/>
            </w:pPr>
            <w:r>
              <w:rPr>
                <w:b/>
                <w:bCs/>
              </w:rPr>
              <w:t xml:space="preserve">-6.1%</w:t>
            </w:r>
          </w:p>
        </w:tc>
        <w:tc>
          <w:tcPr/>
          <w:p>
            <w:pPr>
              <w:pStyle w:val="Compact"/>
              <w:jc w:val="right"/>
            </w:pPr>
            <w:r>
              <w:rPr>
                <w:b/>
                <w:bCs/>
              </w:rPr>
              <w:t xml:space="preserve">-3.8%</w:t>
            </w:r>
          </w:p>
        </w:tc>
      </w:tr>
      <w:tr>
        <w:tc>
          <w:tcPr/>
          <w:p>
            <w:pPr>
              <w:pStyle w:val="Compact"/>
            </w:pPr>
            <w:r>
              <w:t xml:space="preserve">LTL shipments per day</w:t>
            </w:r>
          </w:p>
        </w:tc>
        <w:tc>
          <w:tcPr/>
          <w:p>
            <w:pPr>
              <w:pStyle w:val="Compact"/>
              <w:jc w:val="right"/>
            </w:pPr>
            <w:r>
              <w:rPr>
                <w:b/>
                <w:bCs/>
              </w:rPr>
              <w:t xml:space="preserve">-7.5%</w:t>
            </w:r>
          </w:p>
        </w:tc>
        <w:tc>
          <w:tcPr/>
          <w:p>
            <w:pPr>
              <w:pStyle w:val="Compact"/>
              <w:jc w:val="right"/>
            </w:pPr>
            <w:r>
              <w:rPr>
                <w:b/>
                <w:bCs/>
              </w:rPr>
              <w:t xml:space="preserve">-5.3%</w:t>
            </w:r>
          </w:p>
        </w:tc>
      </w:tr>
      <w:tr>
        <w:tc>
          <w:tcPr/>
          <w:p>
            <w:pPr>
              <w:pStyle w:val="Compact"/>
            </w:pPr>
            <w:r>
              <w:t xml:space="preserve">Weight per shipment</w:t>
            </w:r>
          </w:p>
        </w:tc>
        <w:tc>
          <w:tcPr/>
          <w:p>
            <w:pPr>
              <w:pStyle w:val="Compact"/>
              <w:jc w:val="right"/>
            </w:pPr>
            <w:r>
              <w:rPr>
                <w:b/>
                <w:bCs/>
              </w:rPr>
              <w:t xml:space="preserve">+1.4%</w:t>
            </w:r>
          </w:p>
        </w:tc>
        <w:tc>
          <w:tcPr/>
          <w:p>
            <w:pPr>
              <w:pStyle w:val="Compact"/>
              <w:jc w:val="right"/>
            </w:pPr>
            <w:r>
              <w:rPr>
                <w:b/>
                <w:bCs/>
              </w:rPr>
              <w:t xml:space="preserve">+1.6%</w:t>
            </w:r>
          </w:p>
        </w:tc>
      </w:tr>
    </w:tbl>
    <w:p>
      <w:pPr>
        <w:pStyle w:val="BodyText"/>
      </w:pPr>
      <w:r>
        <w:t xml:space="preserve">For April and May combined, LTL revenue per hundredweight increased</w:t>
      </w:r>
      <w:r>
        <w:t xml:space="preserve"> </w:t>
      </w:r>
      <w:r>
        <w:rPr>
          <w:b/>
          <w:bCs/>
        </w:rPr>
        <w:t xml:space="preserve">15.6% including fuel</w:t>
      </w:r>
      <w:r>
        <w:t xml:space="preserve"> </w:t>
      </w:r>
      <w:r>
        <w:t xml:space="preserve">and</w:t>
      </w:r>
      <w:r>
        <w:t xml:space="preserve"> </w:t>
      </w:r>
      <w:r>
        <w:rPr>
          <w:b/>
          <w:bCs/>
        </w:rPr>
        <w:t xml:space="preserve">5.4% excluding fuel</w:t>
      </w:r>
      <w:r>
        <w:t xml:space="preserve">. Management also said demand continued to improve as the quarter progressed. (</w:t>
      </w:r>
      <w:hyperlink r:id="rId13">
        <w:r>
          <w:rPr>
            <w:rStyle w:val="Hyperlink"/>
          </w:rPr>
          <w:t xml:space="preserve">ir.odfl.com</w:t>
        </w:r>
      </w:hyperlink>
      <w:r>
        <w:t xml:space="preserve">)</w:t>
      </w:r>
    </w:p>
    <w:p>
      <w:pPr>
        <w:pStyle w:val="BodyText"/>
      </w:pPr>
      <w:r>
        <w:t xml:space="preserve">This creates a relatively clear setup:</w:t>
      </w:r>
    </w:p>
    <w:p>
      <w:pPr>
        <w:pStyle w:val="Compact"/>
        <w:numPr>
          <w:ilvl w:val="0"/>
          <w:numId w:val="1001"/>
        </w:numPr>
      </w:pPr>
      <w:r>
        <w:t xml:space="preserve">The revenue consensus appears achievable if June remained near the April-May revenue trajectory.</w:t>
      </w:r>
    </w:p>
    <w:p>
      <w:pPr>
        <w:pStyle w:val="Compact"/>
        <w:numPr>
          <w:ilvl w:val="0"/>
          <w:numId w:val="1001"/>
        </w:numPr>
      </w:pPr>
      <w:r>
        <w:t xml:space="preserve">Yield is likely to be strong.</w:t>
      </w:r>
    </w:p>
    <w:p>
      <w:pPr>
        <w:pStyle w:val="Compact"/>
        <w:numPr>
          <w:ilvl w:val="0"/>
          <w:numId w:val="1001"/>
        </w:numPr>
      </w:pPr>
      <w:r>
        <w:t xml:space="preserve">Volume should improve substantially from Q2 2025’s 9.3% decline.</w:t>
      </w:r>
    </w:p>
    <w:p>
      <w:pPr>
        <w:pStyle w:val="Compact"/>
        <w:numPr>
          <w:ilvl w:val="0"/>
          <w:numId w:val="1001"/>
        </w:numPr>
      </w:pPr>
      <w:r>
        <w:t xml:space="preserve">The swing factor is whether June produced another meaningful step-up in shipments and tonnage.</w:t>
      </w:r>
    </w:p>
    <w:p>
      <w:pPr>
        <w:pStyle w:val="FirstParagraph"/>
      </w:pPr>
      <w:r>
        <w:t xml:space="preserve">A revenue beat driven by better shipments would be much more valuable than one driven primarily by fuel surcharges.</w:t>
      </w:r>
    </w:p>
    <w:bookmarkEnd w:id="14"/>
    <w:bookmarkStart w:id="21" w:name="the-five-issues-that-matter-most"/>
    <w:p>
      <w:pPr>
        <w:pStyle w:val="Heading2"/>
      </w:pPr>
      <w:r>
        <w:t xml:space="preserve">The five issues that matter most</w:t>
      </w:r>
    </w:p>
    <w:bookmarkStart w:id="15" w:name="X012e1654fc984c7ccf670b7dd7298bfa6e05a17"/>
    <w:p>
      <w:pPr>
        <w:pStyle w:val="Heading3"/>
      </w:pPr>
      <w:r>
        <w:t xml:space="preserve">1. Did the volume recovery continue in June?</w:t>
      </w:r>
    </w:p>
    <w:p>
      <w:pPr>
        <w:pStyle w:val="FirstParagraph"/>
      </w:pPr>
      <w:r>
        <w:t xml:space="preserve">ODFL’s tonnage decline narrowed from 6.1% in April to 3.8% in May, while weight per shipment remained positive. That is encouraging, but shipments were still down 5.3% in May.</w:t>
      </w:r>
    </w:p>
    <w:p>
      <w:pPr>
        <w:pStyle w:val="BodyText"/>
      </w:pPr>
      <w:r>
        <w:t xml:space="preserve">The most important figures in the release will therefore be:</w:t>
      </w:r>
    </w:p>
    <w:p>
      <w:pPr>
        <w:pStyle w:val="Compact"/>
        <w:numPr>
          <w:ilvl w:val="0"/>
          <w:numId w:val="1002"/>
        </w:numPr>
      </w:pPr>
      <w:r>
        <w:t xml:space="preserve">June shipments per day</w:t>
      </w:r>
    </w:p>
    <w:p>
      <w:pPr>
        <w:pStyle w:val="Compact"/>
        <w:numPr>
          <w:ilvl w:val="0"/>
          <w:numId w:val="1002"/>
        </w:numPr>
      </w:pPr>
      <w:r>
        <w:t xml:space="preserve">June tons per day</w:t>
      </w:r>
    </w:p>
    <w:p>
      <w:pPr>
        <w:pStyle w:val="Compact"/>
        <w:numPr>
          <w:ilvl w:val="0"/>
          <w:numId w:val="1002"/>
        </w:numPr>
      </w:pPr>
      <w:r>
        <w:t xml:space="preserve">June weight per shipment</w:t>
      </w:r>
    </w:p>
    <w:p>
      <w:pPr>
        <w:pStyle w:val="Compact"/>
        <w:numPr>
          <w:ilvl w:val="0"/>
          <w:numId w:val="1002"/>
        </w:numPr>
      </w:pPr>
      <w:r>
        <w:t xml:space="preserve">July-to-date commentary</w:t>
      </w:r>
    </w:p>
    <w:p>
      <w:pPr>
        <w:pStyle w:val="FirstParagraph"/>
      </w:pPr>
      <w:r>
        <w:t xml:space="preserve">A credible bullish result would show June tonnage approaching flat year over year, preferably with continued sequential improvement into July. A weak result would show the May improvement stalling or reversing.</w:t>
      </w:r>
    </w:p>
    <w:p>
      <w:pPr>
        <w:pStyle w:val="BodyText"/>
      </w:pPr>
      <w:r>
        <w:t xml:space="preserve">Weight per shipment deserves particular attention. Management views rising shipment weight as an early indicator of stronger industrial activity, and heavier shipments generally improve revenue per shipment without producing an equivalent increase in cost per shipment.</w:t>
      </w:r>
    </w:p>
    <w:bookmarkEnd w:id="15"/>
    <w:bookmarkStart w:id="17" w:name="X8634374e8c54a26aeb66c760f878631cf4539c0"/>
    <w:p>
      <w:pPr>
        <w:pStyle w:val="Heading3"/>
      </w:pPr>
      <w:r>
        <w:t xml:space="preserve">2. Why is ODFL’s volume lagging several competitors?</w:t>
      </w:r>
    </w:p>
    <w:p>
      <w:pPr>
        <w:pStyle w:val="FirstParagraph"/>
      </w:pPr>
      <w:r>
        <w:t xml:space="preserve">ODFL’s pricing and service performance remain industry-leading, but the public operating data create a legitimate market-share question.</w:t>
      </w:r>
    </w:p>
    <w:p>
      <w:pPr>
        <w:pStyle w:val="Compact"/>
        <w:numPr>
          <w:ilvl w:val="0"/>
          <w:numId w:val="1003"/>
        </w:numPr>
      </w:pPr>
      <w:r>
        <w:t xml:space="preserve">Saia’s April-May quarter-to-date tonnage per workday increased</w:t>
      </w:r>
      <w:r>
        <w:t xml:space="preserve"> </w:t>
      </w:r>
      <w:r>
        <w:rPr>
          <w:b/>
          <w:bCs/>
        </w:rPr>
        <w:t xml:space="preserve">7.6%</w:t>
      </w:r>
      <w:r>
        <w:t xml:space="preserve">, with shipments up 4.6%.</w:t>
      </w:r>
    </w:p>
    <w:p>
      <w:pPr>
        <w:pStyle w:val="Compact"/>
        <w:numPr>
          <w:ilvl w:val="0"/>
          <w:numId w:val="1003"/>
        </w:numPr>
      </w:pPr>
      <w:r>
        <w:t xml:space="preserve">XPO’s May tonnage per day increased</w:t>
      </w:r>
      <w:r>
        <w:t xml:space="preserve"> </w:t>
      </w:r>
      <w:r>
        <w:rPr>
          <w:b/>
          <w:bCs/>
        </w:rPr>
        <w:t xml:space="preserve">0.5%</w:t>
      </w:r>
      <w:r>
        <w:t xml:space="preserve">, with shipments up 3.3%.</w:t>
      </w:r>
    </w:p>
    <w:p>
      <w:pPr>
        <w:pStyle w:val="Compact"/>
        <w:numPr>
          <w:ilvl w:val="0"/>
          <w:numId w:val="1003"/>
        </w:numPr>
      </w:pPr>
      <w:r>
        <w:t xml:space="preserve">ArcBest reported May daily tonnage growth of approximately</w:t>
      </w:r>
      <w:r>
        <w:t xml:space="preserve"> </w:t>
      </w:r>
      <w:r>
        <w:rPr>
          <w:b/>
          <w:bCs/>
        </w:rPr>
        <w:t xml:space="preserve">5%</w:t>
      </w:r>
      <w:r>
        <w:t xml:space="preserve">.</w:t>
      </w:r>
    </w:p>
    <w:p>
      <w:pPr>
        <w:pStyle w:val="Compact"/>
        <w:numPr>
          <w:ilvl w:val="0"/>
          <w:numId w:val="1003"/>
        </w:numPr>
      </w:pPr>
      <w:r>
        <w:t xml:space="preserve">ODFL’s May tonnage per day was still down</w:t>
      </w:r>
      <w:r>
        <w:t xml:space="preserve"> </w:t>
      </w:r>
      <w:r>
        <w:rPr>
          <w:b/>
          <w:bCs/>
        </w:rPr>
        <w:t xml:space="preserve">3.8%</w:t>
      </w:r>
      <w:r>
        <w:t xml:space="preserve">. (</w:t>
      </w:r>
      <w:hyperlink r:id="rId16">
        <w:r>
          <w:rPr>
            <w:rStyle w:val="Hyperlink"/>
          </w:rPr>
          <w:t xml:space="preserve">xpologisticsinc.gcs-web.com</w:t>
        </w:r>
      </w:hyperlink>
      <w:r>
        <w:t xml:space="preserve">)</w:t>
      </w:r>
    </w:p>
    <w:p>
      <w:pPr>
        <w:pStyle w:val="FirstParagraph"/>
      </w:pPr>
      <w:r>
        <w:t xml:space="preserve">These comparisons are not perfectly apples-to-apples. Customer mix, prior-year comparisons, network additions and pricing strategies differ. Saia in particular has been investing aggressively in geographic expansion. Still, the gap is large enough that management should expect questions about:</w:t>
      </w:r>
    </w:p>
    <w:p>
      <w:pPr>
        <w:pStyle w:val="Compact"/>
        <w:numPr>
          <w:ilvl w:val="0"/>
          <w:numId w:val="1004"/>
        </w:numPr>
      </w:pPr>
      <w:r>
        <w:t xml:space="preserve">Bid wins and losses</w:t>
      </w:r>
    </w:p>
    <w:p>
      <w:pPr>
        <w:pStyle w:val="Compact"/>
        <w:numPr>
          <w:ilvl w:val="0"/>
          <w:numId w:val="1004"/>
        </w:numPr>
      </w:pPr>
      <w:r>
        <w:t xml:space="preserve">Performance with large national accounts</w:t>
      </w:r>
    </w:p>
    <w:p>
      <w:pPr>
        <w:pStyle w:val="Compact"/>
        <w:numPr>
          <w:ilvl w:val="0"/>
          <w:numId w:val="1004"/>
        </w:numPr>
      </w:pPr>
      <w:r>
        <w:t xml:space="preserve">3PL-related freight</w:t>
      </w:r>
    </w:p>
    <w:p>
      <w:pPr>
        <w:pStyle w:val="Compact"/>
        <w:numPr>
          <w:ilvl w:val="0"/>
          <w:numId w:val="1004"/>
        </w:numPr>
      </w:pPr>
      <w:r>
        <w:t xml:space="preserve">Whether pricing is constraining shipment growth</w:t>
      </w:r>
    </w:p>
    <w:p>
      <w:pPr>
        <w:pStyle w:val="Compact"/>
        <w:numPr>
          <w:ilvl w:val="0"/>
          <w:numId w:val="1004"/>
        </w:numPr>
      </w:pPr>
      <w:r>
        <w:t xml:space="preserve">Whether competitors are gaining share through lower rates</w:t>
      </w:r>
    </w:p>
    <w:p>
      <w:pPr>
        <w:pStyle w:val="Compact"/>
        <w:numPr>
          <w:ilvl w:val="0"/>
          <w:numId w:val="1004"/>
        </w:numPr>
      </w:pPr>
      <w:r>
        <w:t xml:space="preserve">When ODFL expects to return to positive shipment growth</w:t>
      </w:r>
    </w:p>
    <w:p>
      <w:pPr>
        <w:pStyle w:val="FirstParagraph"/>
      </w:pPr>
      <w:r>
        <w:t xml:space="preserve">Management said on the Q1 call that it was seeing more bid wins and did not view April’s weakness as a market-share loss. Investors will want June and July data that support that assessment.</w:t>
      </w:r>
    </w:p>
    <w:bookmarkEnd w:id="17"/>
    <w:bookmarkStart w:id="18" w:name="X5bf25e995b8bf75d37339bff3c3d0cca989d8d5"/>
    <w:p>
      <w:pPr>
        <w:pStyle w:val="Heading3"/>
      </w:pPr>
      <w:r>
        <w:t xml:space="preserve">3. Can ODFL deliver the expected margin conversion?</w:t>
      </w:r>
    </w:p>
    <w:p>
      <w:pPr>
        <w:pStyle w:val="FirstParagraph"/>
      </w:pPr>
      <w:r>
        <w:t xml:space="preserve">ODFL reported a</w:t>
      </w:r>
      <w:r>
        <w:t xml:space="preserve"> </w:t>
      </w:r>
      <w:r>
        <w:rPr>
          <w:b/>
          <w:bCs/>
        </w:rPr>
        <w:t xml:space="preserve">76.2% operating ratio in Q1</w:t>
      </w:r>
      <w:r>
        <w:t xml:space="preserve">, and management indicated that the normal 300–350 basis-point sequential improvement into Q2 remained achievable if volumes increased. That framework points to a Q2 operating ratio of approximately</w:t>
      </w:r>
      <w:r>
        <w:t xml:space="preserve"> </w:t>
      </w:r>
      <w:r>
        <w:rPr>
          <w:b/>
          <w:bCs/>
        </w:rPr>
        <w:t xml:space="preserve">72.7%–73.2%</w:t>
      </w:r>
      <w:r>
        <w:t xml:space="preserve">.</w:t>
      </w:r>
    </w:p>
    <w:p>
      <w:pPr>
        <w:pStyle w:val="BodyText"/>
      </w:pPr>
      <w:r>
        <w:t xml:space="preserve">The case for strong sequential improvement includes:</w:t>
      </w:r>
    </w:p>
    <w:p>
      <w:pPr>
        <w:pStyle w:val="Compact"/>
        <w:numPr>
          <w:ilvl w:val="0"/>
          <w:numId w:val="1005"/>
        </w:numPr>
      </w:pPr>
      <w:r>
        <w:t xml:space="preserve">Higher revenue per day</w:t>
      </w:r>
    </w:p>
    <w:p>
      <w:pPr>
        <w:pStyle w:val="Compact"/>
        <w:numPr>
          <w:ilvl w:val="0"/>
          <w:numId w:val="1005"/>
        </w:numPr>
      </w:pPr>
      <w:r>
        <w:t xml:space="preserve">Better network density</w:t>
      </w:r>
    </w:p>
    <w:p>
      <w:pPr>
        <w:pStyle w:val="Compact"/>
        <w:numPr>
          <w:ilvl w:val="0"/>
          <w:numId w:val="1005"/>
        </w:numPr>
      </w:pPr>
      <w:r>
        <w:t xml:space="preserve">A workforce already sized for sequential growth</w:t>
      </w:r>
    </w:p>
    <w:p>
      <w:pPr>
        <w:pStyle w:val="Compact"/>
        <w:numPr>
          <w:ilvl w:val="0"/>
          <w:numId w:val="1005"/>
        </w:numPr>
      </w:pPr>
      <w:r>
        <w:t xml:space="preserve">Significant unused service-center capacity</w:t>
      </w:r>
    </w:p>
    <w:p>
      <w:pPr>
        <w:pStyle w:val="Compact"/>
        <w:numPr>
          <w:ilvl w:val="0"/>
          <w:numId w:val="1005"/>
        </w:numPr>
      </w:pPr>
      <w:r>
        <w:t xml:space="preserve">Improved labor productivity</w:t>
      </w:r>
    </w:p>
    <w:p>
      <w:pPr>
        <w:pStyle w:val="Compact"/>
        <w:numPr>
          <w:ilvl w:val="0"/>
          <w:numId w:val="1005"/>
        </w:numPr>
      </w:pPr>
      <w:r>
        <w:t xml:space="preserve">Lower planned capital spending and slower depreciation growth</w:t>
      </w:r>
    </w:p>
    <w:p>
      <w:pPr>
        <w:pStyle w:val="Compact"/>
        <w:numPr>
          <w:ilvl w:val="0"/>
          <w:numId w:val="1005"/>
        </w:numPr>
      </w:pPr>
      <w:r>
        <w:t xml:space="preserve">Strong pricing and revenue quality</w:t>
      </w:r>
    </w:p>
    <w:p>
      <w:pPr>
        <w:pStyle w:val="FirstParagraph"/>
      </w:pPr>
      <w:r>
        <w:t xml:space="preserve">Potential offsets include:</w:t>
      </w:r>
    </w:p>
    <w:p>
      <w:pPr>
        <w:pStyle w:val="Compact"/>
        <w:numPr>
          <w:ilvl w:val="0"/>
          <w:numId w:val="1006"/>
        </w:numPr>
      </w:pPr>
      <w:r>
        <w:t xml:space="preserve">Higher employee benefit and healthcare costs</w:t>
      </w:r>
    </w:p>
    <w:p>
      <w:pPr>
        <w:pStyle w:val="Compact"/>
        <w:numPr>
          <w:ilvl w:val="0"/>
          <w:numId w:val="1006"/>
        </w:numPr>
      </w:pPr>
      <w:r>
        <w:t xml:space="preserve">Fuel-related operating-cost inflation</w:t>
      </w:r>
    </w:p>
    <w:p>
      <w:pPr>
        <w:pStyle w:val="Compact"/>
        <w:numPr>
          <w:ilvl w:val="0"/>
          <w:numId w:val="1006"/>
        </w:numPr>
      </w:pPr>
      <w:r>
        <w:t xml:space="preserve">Technology and cloud-computing expenses</w:t>
      </w:r>
    </w:p>
    <w:p>
      <w:pPr>
        <w:pStyle w:val="Compact"/>
        <w:numPr>
          <w:ilvl w:val="0"/>
          <w:numId w:val="1006"/>
        </w:numPr>
      </w:pPr>
      <w:r>
        <w:t xml:space="preserve">Continued fixed-cost deleverage if shipments remain weak</w:t>
      </w:r>
    </w:p>
    <w:p>
      <w:pPr>
        <w:pStyle w:val="Compact"/>
        <w:numPr>
          <w:ilvl w:val="0"/>
          <w:numId w:val="1006"/>
        </w:numPr>
      </w:pPr>
      <w:r>
        <w:t xml:space="preserve">An unfavorable gap between revenue per shipment and cost per shipment</w:t>
      </w:r>
    </w:p>
    <w:p>
      <w:pPr>
        <w:pStyle w:val="FirstParagraph"/>
      </w:pPr>
      <w:r>
        <w:t xml:space="preserve">An operating ratio below roughly 73% would likely be received positively, especially if supported by better shipment trends. A ratio above 74% would raise questions about the quality of the revenue growth and ODFL’s incremental margins.</w:t>
      </w:r>
    </w:p>
    <w:bookmarkEnd w:id="18"/>
    <w:bookmarkStart w:id="19" w:name="Xaa7a26e4cca5efc3de35575cd8637b219c9f9e6"/>
    <w:p>
      <w:pPr>
        <w:pStyle w:val="Heading3"/>
      </w:pPr>
      <w:r>
        <w:t xml:space="preserve">4. How much of the revenue growth is sustainable pricing?</w:t>
      </w:r>
    </w:p>
    <w:p>
      <w:pPr>
        <w:pStyle w:val="FirstParagraph"/>
      </w:pPr>
      <w:r>
        <w:t xml:space="preserve">ODFL’s quarter-to-date revenue per hundredweight increased 15.6%, but only 5.4% excluding fuel. The latter remains a strong result and is slightly above management’s earlier expectation for underlying Q2 yield of roughly 4%–4.5%.</w:t>
      </w:r>
    </w:p>
    <w:p>
      <w:pPr>
        <w:pStyle w:val="BodyText"/>
      </w:pPr>
      <w:r>
        <w:t xml:space="preserve">Investors should separate three components:</w:t>
      </w:r>
    </w:p>
    <w:p>
      <w:pPr>
        <w:pStyle w:val="Compact"/>
        <w:numPr>
          <w:ilvl w:val="0"/>
          <w:numId w:val="1007"/>
        </w:numPr>
      </w:pPr>
      <w:r>
        <w:rPr>
          <w:b/>
          <w:bCs/>
        </w:rPr>
        <w:t xml:space="preserve">Contract and general-rate increases</w:t>
      </w:r>
    </w:p>
    <w:p>
      <w:pPr>
        <w:pStyle w:val="Compact"/>
        <w:numPr>
          <w:ilvl w:val="0"/>
          <w:numId w:val="1007"/>
        </w:numPr>
      </w:pPr>
      <w:r>
        <w:rPr>
          <w:b/>
          <w:bCs/>
        </w:rPr>
        <w:t xml:space="preserve">Shipment mix and weight effects</w:t>
      </w:r>
    </w:p>
    <w:p>
      <w:pPr>
        <w:pStyle w:val="Compact"/>
        <w:numPr>
          <w:ilvl w:val="0"/>
          <w:numId w:val="1007"/>
        </w:numPr>
      </w:pPr>
      <w:r>
        <w:rPr>
          <w:b/>
          <w:bCs/>
        </w:rPr>
        <w:t xml:space="preserve">Fuel surcharge revenue</w:t>
      </w:r>
    </w:p>
    <w:p>
      <w:pPr>
        <w:pStyle w:val="FirstParagraph"/>
      </w:pPr>
      <w:r>
        <w:t xml:space="preserve">The best outcome would combine positive base pricing with improving shipment weight and a widening spread between revenue per shipment and cost per shipment. A fuel-heavy revenue beat would have less read-through to future earnings, particularly if diesel prices normalize.</w:t>
      </w:r>
    </w:p>
    <w:bookmarkEnd w:id="19"/>
    <w:bookmarkStart w:id="20" w:name="Xbc1e0b51a507628a608009870694148e652cb73"/>
    <w:p>
      <w:pPr>
        <w:pStyle w:val="Heading3"/>
      </w:pPr>
      <w:r>
        <w:t xml:space="preserve">5. What is management seeing for Q3?</w:t>
      </w:r>
    </w:p>
    <w:p>
      <w:pPr>
        <w:pStyle w:val="FirstParagraph"/>
      </w:pPr>
      <w:r>
        <w:t xml:space="preserve">The call will probably matter more than the reported quarter. Important indicators include:</w:t>
      </w:r>
    </w:p>
    <w:p>
      <w:pPr>
        <w:pStyle w:val="Compact"/>
        <w:numPr>
          <w:ilvl w:val="0"/>
          <w:numId w:val="1008"/>
        </w:numPr>
      </w:pPr>
      <w:r>
        <w:t xml:space="preserve">Whether industrial demand is beginning to supplement retail freight</w:t>
      </w:r>
    </w:p>
    <w:p>
      <w:pPr>
        <w:pStyle w:val="Compact"/>
        <w:numPr>
          <w:ilvl w:val="0"/>
          <w:numId w:val="1008"/>
        </w:numPr>
      </w:pPr>
      <w:r>
        <w:t xml:space="preserve">Customer inventory-restocking plans</w:t>
      </w:r>
    </w:p>
    <w:p>
      <w:pPr>
        <w:pStyle w:val="Compact"/>
        <w:numPr>
          <w:ilvl w:val="0"/>
          <w:numId w:val="1008"/>
        </w:numPr>
      </w:pPr>
      <w:r>
        <w:t xml:space="preserve">Truckload freight shifting back into LTL</w:t>
      </w:r>
    </w:p>
    <w:p>
      <w:pPr>
        <w:pStyle w:val="Compact"/>
        <w:numPr>
          <w:ilvl w:val="0"/>
          <w:numId w:val="1008"/>
        </w:numPr>
      </w:pPr>
      <w:r>
        <w:t xml:space="preserve">July shipment and tonnage trends</w:t>
      </w:r>
    </w:p>
    <w:p>
      <w:pPr>
        <w:pStyle w:val="Compact"/>
        <w:numPr>
          <w:ilvl w:val="0"/>
          <w:numId w:val="1008"/>
        </w:numPr>
      </w:pPr>
      <w:r>
        <w:t xml:space="preserve">Bid-pipeline conversion</w:t>
      </w:r>
    </w:p>
    <w:p>
      <w:pPr>
        <w:pStyle w:val="Compact"/>
        <w:numPr>
          <w:ilvl w:val="0"/>
          <w:numId w:val="1008"/>
        </w:numPr>
      </w:pPr>
      <w:r>
        <w:t xml:space="preserve">Pricing behavior from competitors</w:t>
      </w:r>
    </w:p>
    <w:p>
      <w:pPr>
        <w:pStyle w:val="Compact"/>
        <w:numPr>
          <w:ilvl w:val="0"/>
          <w:numId w:val="1008"/>
        </w:numPr>
      </w:pPr>
      <w:r>
        <w:t xml:space="preserve">Capacity availability across the broader LTL market</w:t>
      </w:r>
    </w:p>
    <w:p>
      <w:pPr>
        <w:pStyle w:val="FirstParagraph"/>
      </w:pPr>
      <w:r>
        <w:t xml:space="preserve">ODFL has argued that the industry has materially less usable capacity than commonly assumed and that its own excess capacity should allow it to outperform when demand strengthens. The company said it had slightly more than 35% available service-center capacity on the Q1 call. If an upcycle is beginning, investors should expect that capacity advantage to start appearing in shipment growth.</w:t>
      </w:r>
    </w:p>
    <w:bookmarkEnd w:id="20"/>
    <w:bookmarkEnd w:id="21"/>
    <w:bookmarkStart w:id="22" w:name="Xbbe0c83cc196a0ec15cde7fbd17ab8a9f04a656"/>
    <w:p>
      <w:pPr>
        <w:pStyle w:val="Heading2"/>
      </w:pPr>
      <w:r>
        <w:t xml:space="preserve">Costs, capital spending and capital returns</w:t>
      </w:r>
    </w:p>
    <w:p>
      <w:pPr>
        <w:pStyle w:val="FirstParagraph"/>
      </w:pPr>
      <w:r>
        <w:t xml:space="preserve">ODFL entered Q2 with a strong balance sheet and generated</w:t>
      </w:r>
      <w:r>
        <w:t xml:space="preserve"> </w:t>
      </w:r>
      <m:oMath>
        <m:r>
          <m:t>373.6</m:t>
        </m:r>
        <m:r>
          <m:t>m</m:t>
        </m:r>
        <m:r>
          <m:t>i</m:t>
        </m:r>
        <m:r>
          <m:t>l</m:t>
        </m:r>
        <m:r>
          <m:t>l</m:t>
        </m:r>
        <m:r>
          <m:t>i</m:t>
        </m:r>
        <m:r>
          <m:t>o</m:t>
        </m:r>
        <m:r>
          <m:t>n</m:t>
        </m:r>
        <m:r>
          <m:t>o</m:t>
        </m:r>
        <m:r>
          <m:t>f</m:t>
        </m:r>
        <m:r>
          <m:t>o</m:t>
        </m:r>
        <m:r>
          <m:t>p</m:t>
        </m:r>
        <m:r>
          <m:t>e</m:t>
        </m:r>
        <m:r>
          <m:t>r</m:t>
        </m:r>
        <m:r>
          <m:t>a</m:t>
        </m:r>
        <m:r>
          <m:t>t</m:t>
        </m:r>
        <m:r>
          <m:t>i</m:t>
        </m:r>
        <m:r>
          <m:t>n</m:t>
        </m:r>
        <m:r>
          <m:t>g</m:t>
        </m:r>
        <m:r>
          <m:t>c</m:t>
        </m:r>
        <m:r>
          <m:t>a</m:t>
        </m:r>
        <m:r>
          <m:t>s</m:t>
        </m:r>
        <m:r>
          <m:t>h</m:t>
        </m:r>
        <m:r>
          <m:t>f</m:t>
        </m:r>
        <m:r>
          <m:t>l</m:t>
        </m:r>
        <m:r>
          <m:t>o</m:t>
        </m:r>
        <m:r>
          <m:t>w</m:t>
        </m:r>
        <m:r>
          <m:t>i</m:t>
        </m:r>
        <m:r>
          <m:t>n</m:t>
        </m:r>
        <m:r>
          <m:t>Q</m:t>
        </m:r>
        <m:r>
          <m:t>1</m:t>
        </m:r>
        <m:r>
          <m:rPr>
            <m:sty m:val="p"/>
          </m:rPr>
          <m:t>.</m:t>
        </m:r>
        <m:r>
          <m:t>M</m:t>
        </m:r>
        <m:r>
          <m:t>a</m:t>
        </m:r>
        <m:r>
          <m:t>n</m:t>
        </m:r>
        <m:r>
          <m:t>a</m:t>
        </m:r>
        <m:r>
          <m:t>g</m:t>
        </m:r>
        <m:r>
          <m:t>e</m:t>
        </m:r>
        <m:r>
          <m:t>m</m:t>
        </m:r>
        <m:r>
          <m:t>e</m:t>
        </m:r>
        <m:r>
          <m:t>n</m:t>
        </m:r>
        <m:r>
          <m:t>t</m:t>
        </m:r>
        <m:r>
          <m:rPr>
            <m:sty m:val="p"/>
          </m:rPr>
          <m:t>’</m:t>
        </m:r>
        <m:r>
          <m:t>s</m:t>
        </m:r>
        <m:r>
          <m:t>2026</m:t>
        </m:r>
        <m:r>
          <m:t>c</m:t>
        </m:r>
        <m:r>
          <m:t>a</m:t>
        </m:r>
        <m:r>
          <m:t>p</m:t>
        </m:r>
        <m:r>
          <m:t>i</m:t>
        </m:r>
        <m:r>
          <m:t>t</m:t>
        </m:r>
        <m:r>
          <m:t>a</m:t>
        </m:r>
        <m:r>
          <m:t>l</m:t>
        </m:r>
        <m:r>
          <m:rPr>
            <m:sty m:val="p"/>
          </m:rPr>
          <m:t>−</m:t>
        </m:r>
        <m:r>
          <m:t>s</m:t>
        </m:r>
        <m:r>
          <m:t>p</m:t>
        </m:r>
        <m:r>
          <m:t>e</m:t>
        </m:r>
        <m:r>
          <m:t>n</m:t>
        </m:r>
        <m:r>
          <m:t>d</m:t>
        </m:r>
        <m:r>
          <m:t>i</m:t>
        </m:r>
        <m:r>
          <m:t>n</m:t>
        </m:r>
        <m:r>
          <m:t>g</m:t>
        </m:r>
        <m:r>
          <m:t>p</m:t>
        </m:r>
        <m:r>
          <m:t>l</m:t>
        </m:r>
        <m:r>
          <m:t>a</m:t>
        </m:r>
        <m:r>
          <m:t>n</m:t>
        </m:r>
        <m:r>
          <m:t>w</m:t>
        </m:r>
        <m:r>
          <m:t>a</m:t>
        </m:r>
        <m:r>
          <m:t>s</m:t>
        </m:r>
        <m:r>
          <m:t>a</m:t>
        </m:r>
        <m:r>
          <m:t>p</m:t>
        </m:r>
        <m:r>
          <m:t>p</m:t>
        </m:r>
        <m:r>
          <m:t>r</m:t>
        </m:r>
        <m:r>
          <m:t>o</m:t>
        </m:r>
        <m:r>
          <m:t>x</m:t>
        </m:r>
        <m:r>
          <m:t>i</m:t>
        </m:r>
        <m:r>
          <m:t>m</m:t>
        </m:r>
        <m:r>
          <m:t>a</m:t>
        </m:r>
        <m:r>
          <m:t>t</m:t>
        </m:r>
        <m:r>
          <m:t>e</m:t>
        </m:r>
        <m:r>
          <m:t>l</m:t>
        </m:r>
        <m:r>
          <m:t>y</m:t>
        </m:r>
        <m:r>
          <m:rPr>
            <m:sty m:val="p"/>
          </m:rPr>
          <m:t>*</m:t>
        </m:r>
        <m:r>
          <m:rPr>
            <m:sty m:val="p"/>
          </m:rPr>
          <m:t>*</m:t>
        </m:r>
      </m:oMath>
      <w:r>
        <w:t xml:space="preserve">265 million**, down substantially from $450 million in 2025, after investing nearly $2 billion over the prior three years.</w:t>
      </w:r>
    </w:p>
    <w:p>
      <w:pPr>
        <w:pStyle w:val="BodyText"/>
      </w:pPr>
      <w:r>
        <w:t xml:space="preserve">Lower capital intensity should support free cash flow, although the company intends to retain enough physical and labor capacity to respond rapidly to a freight recovery.</w:t>
      </w:r>
    </w:p>
    <w:p>
      <w:pPr>
        <w:pStyle w:val="BodyText"/>
      </w:pPr>
      <w:r>
        <w:t xml:space="preserve">Investors should watch for:</w:t>
      </w:r>
    </w:p>
    <w:p>
      <w:pPr>
        <w:pStyle w:val="Compact"/>
        <w:numPr>
          <w:ilvl w:val="0"/>
          <w:numId w:val="1009"/>
        </w:numPr>
      </w:pPr>
      <w:r>
        <w:t xml:space="preserve">Any change to the $265 million capital-expenditure plan</w:t>
      </w:r>
    </w:p>
    <w:p>
      <w:pPr>
        <w:pStyle w:val="Compact"/>
        <w:numPr>
          <w:ilvl w:val="0"/>
          <w:numId w:val="1009"/>
        </w:numPr>
      </w:pPr>
      <w:r>
        <w:t xml:space="preserve">Q2 share repurchases</w:t>
      </w:r>
    </w:p>
    <w:p>
      <w:pPr>
        <w:pStyle w:val="Compact"/>
        <w:numPr>
          <w:ilvl w:val="0"/>
          <w:numId w:val="1009"/>
        </w:numPr>
      </w:pPr>
      <w:r>
        <w:t xml:space="preserve">Cash accumulation versus accelerated buybacks</w:t>
      </w:r>
    </w:p>
    <w:p>
      <w:pPr>
        <w:pStyle w:val="Compact"/>
        <w:numPr>
          <w:ilvl w:val="0"/>
          <w:numId w:val="1009"/>
        </w:numPr>
      </w:pPr>
      <w:r>
        <w:t xml:space="preserve">Commentary on new or expanded service centers</w:t>
      </w:r>
    </w:p>
    <w:p>
      <w:pPr>
        <w:pStyle w:val="Compact"/>
        <w:numPr>
          <w:ilvl w:val="0"/>
          <w:numId w:val="1009"/>
        </w:numPr>
      </w:pPr>
      <w:r>
        <w:t xml:space="preserve">Whether management needs to resume meaningful hiring</w:t>
      </w:r>
    </w:p>
    <w:p>
      <w:pPr>
        <w:pStyle w:val="FirstParagraph"/>
      </w:pPr>
      <w:r>
        <w:t xml:space="preserve">The board recently maintained its quarterly dividend at</w:t>
      </w:r>
      <w:r>
        <w:t xml:space="preserve"> </w:t>
      </w:r>
      <w:r>
        <w:rPr>
          <w:b/>
          <w:bCs/>
        </w:rPr>
        <w:t xml:space="preserve">$0.29 per share</w:t>
      </w:r>
      <w:r>
        <w:t xml:space="preserve">. (</w:t>
      </w:r>
      <w:hyperlink r:id="rId9">
        <w:r>
          <w:rPr>
            <w:rStyle w:val="Hyperlink"/>
          </w:rPr>
          <w:t xml:space="preserve">ir.odfl.com</w:t>
        </w:r>
      </w:hyperlink>
      <w:r>
        <w:t xml:space="preserve">)</w:t>
      </w:r>
    </w:p>
    <w:bookmarkEnd w:id="22"/>
    <w:bookmarkStart w:id="24" w:name="stock-setup-and-valuation"/>
    <w:p>
      <w:pPr>
        <w:pStyle w:val="Heading2"/>
      </w:pPr>
      <w:r>
        <w:t xml:space="preserve">Stock setup and valuation</w:t>
      </w:r>
    </w:p>
    <w:p>
      <w:pPr>
        <w:pStyle w:val="FirstParagraph"/>
      </w:pPr>
      <w:r>
        <w:t xml:space="preserve">ODFL closed July 28 at approximately</w:t>
      </w:r>
      <w:r>
        <w:t xml:space="preserve"> </w:t>
      </w:r>
      <w:r>
        <w:rPr>
          <w:b/>
          <w:bCs/>
        </w:rPr>
        <w:t xml:space="preserve">$226</w:t>
      </w:r>
      <w:r>
        <w:t xml:space="preserve">, up about</w:t>
      </w:r>
      <w:r>
        <w:t xml:space="preserve"> </w:t>
      </w:r>
      <w:r>
        <w:rPr>
          <w:b/>
          <w:bCs/>
        </w:rPr>
        <w:t xml:space="preserve">42% from the beginning of 2026</w:t>
      </w:r>
      <w:r>
        <w:t xml:space="preserve">, although roughly 9% below its early-June high.</w:t>
      </w:r>
    </w:p>
    <w:p>
      <w:pPr>
        <w:pStyle w:val="BodyText"/>
      </w:pPr>
      <w:r>
        <w:t xml:space="preserve">Using published consensus estimates of approximately $5.56 for 2026 and $6.50 for 2027, the stock trades at roughly:</w:t>
      </w:r>
    </w:p>
    <w:p>
      <w:pPr>
        <w:pStyle w:val="Compact"/>
        <w:numPr>
          <w:ilvl w:val="0"/>
          <w:numId w:val="1010"/>
        </w:numPr>
      </w:pPr>
      <w:r>
        <w:rPr>
          <w:b/>
          <w:bCs/>
        </w:rPr>
        <w:t xml:space="preserve">41× 2026 earnings</w:t>
      </w:r>
    </w:p>
    <w:p>
      <w:pPr>
        <w:pStyle w:val="Compact"/>
        <w:numPr>
          <w:ilvl w:val="0"/>
          <w:numId w:val="1010"/>
        </w:numPr>
      </w:pPr>
      <w:r>
        <w:rPr>
          <w:b/>
          <w:bCs/>
        </w:rPr>
        <w:t xml:space="preserve">35× 2027 earnings</w:t>
      </w:r>
    </w:p>
    <w:p>
      <w:pPr>
        <w:pStyle w:val="FirstParagraph"/>
      </w:pPr>
      <w:r>
        <w:t xml:space="preserve">The estimates remain subject to revision following the report. (</w:t>
      </w:r>
      <w:hyperlink r:id="rId23">
        <w:r>
          <w:rPr>
            <w:rStyle w:val="Hyperlink"/>
          </w:rPr>
          <w:t xml:space="preserve">barchart.com</w:t>
        </w:r>
      </w:hyperlink>
      <w:r>
        <w:t xml:space="preserve">)</w:t>
      </w:r>
    </w:p>
    <w:p>
      <w:pPr>
        <w:pStyle w:val="BodyText"/>
      </w:pPr>
      <w:r>
        <w:t xml:space="preserve">That valuation reflects ODFL’s superior margins, service quality, balance sheet and long-term market-share record. It also leaves limited room for a quarter that merely meets expectations. A durable reacceleration in shipment growth is likely necessary for further multiple expansion.</w:t>
      </w:r>
    </w:p>
    <w:bookmarkEnd w:id="24"/>
    <w:bookmarkStart w:id="28" w:name="potential-reaction-framework"/>
    <w:p>
      <w:pPr>
        <w:pStyle w:val="Heading2"/>
      </w:pPr>
      <w:r>
        <w:t xml:space="preserve">Potential reaction framework</w:t>
      </w:r>
    </w:p>
    <w:bookmarkStart w:id="25" w:name="bull-case"/>
    <w:p>
      <w:pPr>
        <w:pStyle w:val="Heading3"/>
      </w:pPr>
      <w:r>
        <w:t xml:space="preserve">Bull case</w:t>
      </w:r>
    </w:p>
    <w:p>
      <w:pPr>
        <w:pStyle w:val="Compact"/>
        <w:numPr>
          <w:ilvl w:val="0"/>
          <w:numId w:val="1011"/>
        </w:numPr>
      </w:pPr>
      <w:r>
        <w:t xml:space="preserve">Revenue exceeds $1.55 billion</w:t>
      </w:r>
    </w:p>
    <w:p>
      <w:pPr>
        <w:pStyle w:val="Compact"/>
        <w:numPr>
          <w:ilvl w:val="0"/>
          <w:numId w:val="1011"/>
        </w:numPr>
      </w:pPr>
      <w:r>
        <w:t xml:space="preserve">EPS is above $1.55</w:t>
      </w:r>
    </w:p>
    <w:p>
      <w:pPr>
        <w:pStyle w:val="Compact"/>
        <w:numPr>
          <w:ilvl w:val="0"/>
          <w:numId w:val="1011"/>
        </w:numPr>
      </w:pPr>
      <w:r>
        <w:t xml:space="preserve">Operating ratio is near or below 73%</w:t>
      </w:r>
    </w:p>
    <w:p>
      <w:pPr>
        <w:pStyle w:val="Compact"/>
        <w:numPr>
          <w:ilvl w:val="0"/>
          <w:numId w:val="1011"/>
        </w:numPr>
      </w:pPr>
      <w:r>
        <w:t xml:space="preserve">June tonnage approaches flat year over year</w:t>
      </w:r>
    </w:p>
    <w:p>
      <w:pPr>
        <w:pStyle w:val="Compact"/>
        <w:numPr>
          <w:ilvl w:val="0"/>
          <w:numId w:val="1011"/>
        </w:numPr>
      </w:pPr>
      <w:r>
        <w:t xml:space="preserve">July shipment trends improve further</w:t>
      </w:r>
    </w:p>
    <w:p>
      <w:pPr>
        <w:pStyle w:val="Compact"/>
        <w:numPr>
          <w:ilvl w:val="0"/>
          <w:numId w:val="1011"/>
        </w:numPr>
      </w:pPr>
      <w:r>
        <w:t xml:space="preserve">Management signals positive year-over-year tonnage later in 2026</w:t>
      </w:r>
    </w:p>
    <w:p>
      <w:pPr>
        <w:pStyle w:val="Compact"/>
        <w:numPr>
          <w:ilvl w:val="0"/>
          <w:numId w:val="1011"/>
        </w:numPr>
      </w:pPr>
      <w:r>
        <w:t xml:space="preserve">Yield remains firm without sacrificing new-business wins</w:t>
      </w:r>
    </w:p>
    <w:p>
      <w:pPr>
        <w:pStyle w:val="FirstParagraph"/>
      </w:pPr>
      <w:r>
        <w:t xml:space="preserve">This would support the view that ODFL is entering the operating-leverage phase of a freight recovery.</w:t>
      </w:r>
    </w:p>
    <w:bookmarkEnd w:id="25"/>
    <w:bookmarkStart w:id="26" w:name="base-case"/>
    <w:p>
      <w:pPr>
        <w:pStyle w:val="Heading3"/>
      </w:pPr>
      <w:r>
        <w:t xml:space="preserve">Base case</w:t>
      </w:r>
    </w:p>
    <w:p>
      <w:pPr>
        <w:pStyle w:val="Compact"/>
        <w:numPr>
          <w:ilvl w:val="0"/>
          <w:numId w:val="1012"/>
        </w:numPr>
      </w:pPr>
      <w:r>
        <w:t xml:space="preserve">Revenue and EPS are near consensus</w:t>
      </w:r>
    </w:p>
    <w:p>
      <w:pPr>
        <w:pStyle w:val="Compact"/>
        <w:numPr>
          <w:ilvl w:val="0"/>
          <w:numId w:val="1012"/>
        </w:numPr>
      </w:pPr>
      <w:r>
        <w:t xml:space="preserve">Operating ratio is within the 72.7%–73.2% framework</w:t>
      </w:r>
    </w:p>
    <w:p>
      <w:pPr>
        <w:pStyle w:val="Compact"/>
        <w:numPr>
          <w:ilvl w:val="0"/>
          <w:numId w:val="1012"/>
        </w:numPr>
      </w:pPr>
      <w:r>
        <w:t xml:space="preserve">June improves from May but volumes remain negative</w:t>
      </w:r>
    </w:p>
    <w:p>
      <w:pPr>
        <w:pStyle w:val="Compact"/>
        <w:numPr>
          <w:ilvl w:val="0"/>
          <w:numId w:val="1012"/>
        </w:numPr>
      </w:pPr>
      <w:r>
        <w:t xml:space="preserve">Management remains cautiously optimistic without providing a firm inflection point</w:t>
      </w:r>
    </w:p>
    <w:p>
      <w:pPr>
        <w:pStyle w:val="FirstParagraph"/>
      </w:pPr>
      <w:r>
        <w:t xml:space="preserve">At ODFL’s valuation, this could produce a relatively muted or mixed stock reaction.</w:t>
      </w:r>
    </w:p>
    <w:bookmarkEnd w:id="26"/>
    <w:bookmarkStart w:id="27" w:name="bear-case"/>
    <w:p>
      <w:pPr>
        <w:pStyle w:val="Heading3"/>
      </w:pPr>
      <w:r>
        <w:t xml:space="preserve">Bear case</w:t>
      </w:r>
    </w:p>
    <w:p>
      <w:pPr>
        <w:pStyle w:val="Compact"/>
        <w:numPr>
          <w:ilvl w:val="0"/>
          <w:numId w:val="1013"/>
        </w:numPr>
      </w:pPr>
      <w:r>
        <w:t xml:space="preserve">Revenue growth is primarily fuel-driven</w:t>
      </w:r>
    </w:p>
    <w:p>
      <w:pPr>
        <w:pStyle w:val="Compact"/>
        <w:numPr>
          <w:ilvl w:val="0"/>
          <w:numId w:val="1013"/>
        </w:numPr>
      </w:pPr>
      <w:r>
        <w:t xml:space="preserve">Shipments and tons remain materially negative in June</w:t>
      </w:r>
    </w:p>
    <w:p>
      <w:pPr>
        <w:pStyle w:val="Compact"/>
        <w:numPr>
          <w:ilvl w:val="0"/>
          <w:numId w:val="1013"/>
        </w:numPr>
      </w:pPr>
      <w:r>
        <w:t xml:space="preserve">Operating ratio misses the seasonal framework</w:t>
      </w:r>
    </w:p>
    <w:p>
      <w:pPr>
        <w:pStyle w:val="Compact"/>
        <w:numPr>
          <w:ilvl w:val="0"/>
          <w:numId w:val="1013"/>
        </w:numPr>
      </w:pPr>
      <w:r>
        <w:t xml:space="preserve">July demand softens</w:t>
      </w:r>
    </w:p>
    <w:p>
      <w:pPr>
        <w:pStyle w:val="Compact"/>
        <w:numPr>
          <w:ilvl w:val="0"/>
          <w:numId w:val="1013"/>
        </w:numPr>
      </w:pPr>
      <w:r>
        <w:t xml:space="preserve">Management avoids or weakens prior market-share commentary</w:t>
      </w:r>
    </w:p>
    <w:p>
      <w:pPr>
        <w:pStyle w:val="Compact"/>
        <w:numPr>
          <w:ilvl w:val="0"/>
          <w:numId w:val="1013"/>
        </w:numPr>
      </w:pPr>
      <w:r>
        <w:t xml:space="preserve">Pricing remains strong but new-business activity disappoints</w:t>
      </w:r>
    </w:p>
    <w:p>
      <w:pPr>
        <w:pStyle w:val="FirstParagraph"/>
      </w:pPr>
      <w:r>
        <w:t xml:space="preserve">That combination would reinforce concerns that competitors are capturing the early stages of the freight recovery while ODFL’s premium pricing limits volume growth.</w:t>
      </w:r>
    </w:p>
    <w:bookmarkEnd w:id="27"/>
    <w:bookmarkEnd w:id="28"/>
    <w:bookmarkStart w:id="29" w:name="questions-investors-should-want-answered"/>
    <w:p>
      <w:pPr>
        <w:pStyle w:val="Heading2"/>
      </w:pPr>
      <w:r>
        <w:t xml:space="preserve">Questions investors should want answered</w:t>
      </w:r>
    </w:p>
    <w:p>
      <w:pPr>
        <w:pStyle w:val="Compact"/>
        <w:numPr>
          <w:ilvl w:val="0"/>
          <w:numId w:val="1014"/>
        </w:numPr>
      </w:pPr>
      <w:r>
        <w:t xml:space="preserve">How did shipments, tonnage and weight per shipment perform in June and July to date?</w:t>
      </w:r>
    </w:p>
    <w:p>
      <w:pPr>
        <w:pStyle w:val="Compact"/>
        <w:numPr>
          <w:ilvl w:val="0"/>
          <w:numId w:val="1014"/>
        </w:numPr>
      </w:pPr>
      <w:r>
        <w:t xml:space="preserve">Why has ODFL’s tonnage lagged Saia, XPO and ArcBest?</w:t>
      </w:r>
    </w:p>
    <w:p>
      <w:pPr>
        <w:pStyle w:val="Compact"/>
        <w:numPr>
          <w:ilvl w:val="0"/>
          <w:numId w:val="1014"/>
        </w:numPr>
      </w:pPr>
      <w:r>
        <w:t xml:space="preserve">Is management still confident that current weakness does not represent market-share loss?</w:t>
      </w:r>
    </w:p>
    <w:p>
      <w:pPr>
        <w:pStyle w:val="Compact"/>
        <w:numPr>
          <w:ilvl w:val="0"/>
          <w:numId w:val="1014"/>
        </w:numPr>
      </w:pPr>
      <w:r>
        <w:t xml:space="preserve">What portion of Q2 revenue growth came from fuel versus base pricing and mix?</w:t>
      </w:r>
    </w:p>
    <w:p>
      <w:pPr>
        <w:pStyle w:val="Compact"/>
        <w:numPr>
          <w:ilvl w:val="0"/>
          <w:numId w:val="1014"/>
        </w:numPr>
      </w:pPr>
      <w:r>
        <w:t xml:space="preserve">Did revenue per shipment once again grow faster than cost per shipment?</w:t>
      </w:r>
    </w:p>
    <w:p>
      <w:pPr>
        <w:pStyle w:val="Compact"/>
        <w:numPr>
          <w:ilvl w:val="0"/>
          <w:numId w:val="1014"/>
        </w:numPr>
      </w:pPr>
      <w:r>
        <w:t xml:space="preserve">Is positive year-over-year tonnage achievable in Q3 or Q4?</w:t>
      </w:r>
    </w:p>
    <w:p>
      <w:pPr>
        <w:pStyle w:val="Compact"/>
        <w:numPr>
          <w:ilvl w:val="0"/>
          <w:numId w:val="1014"/>
        </w:numPr>
      </w:pPr>
      <w:r>
        <w:t xml:space="preserve">Has industrial freight begun contributing meaningfully?</w:t>
      </w:r>
    </w:p>
    <w:p>
      <w:pPr>
        <w:pStyle w:val="Compact"/>
        <w:numPr>
          <w:ilvl w:val="0"/>
          <w:numId w:val="1014"/>
        </w:numPr>
      </w:pPr>
      <w:r>
        <w:t xml:space="preserve">Is ODFL gaining back freight that previously shifted from LTL into truckload?</w:t>
      </w:r>
    </w:p>
    <w:p>
      <w:pPr>
        <w:pStyle w:val="Compact"/>
        <w:numPr>
          <w:ilvl w:val="0"/>
          <w:numId w:val="1014"/>
        </w:numPr>
      </w:pPr>
      <w:r>
        <w:t xml:space="preserve">Will the company need to add employees if demand strengthens?</w:t>
      </w:r>
    </w:p>
    <w:p>
      <w:pPr>
        <w:pStyle w:val="Compact"/>
        <w:numPr>
          <w:ilvl w:val="0"/>
          <w:numId w:val="1014"/>
        </w:numPr>
      </w:pPr>
      <w:r>
        <w:t xml:space="preserve">How will management deploy rising free cash flow given the lower capital-spending plan?</w:t>
      </w:r>
    </w:p>
    <w:bookmarkEnd w:id="29"/>
    <w:bookmarkStart w:id="30" w:name="bottom-line"/>
    <w:p>
      <w:pPr>
        <w:pStyle w:val="Heading2"/>
      </w:pPr>
      <w:r>
        <w:t xml:space="preserve">Bottom line</w:t>
      </w:r>
    </w:p>
    <w:p>
      <w:pPr>
        <w:pStyle w:val="FirstParagraph"/>
      </w:pPr>
      <w:r>
        <w:t xml:space="preserve">ODFL is positioned to report a strong year-over-year earnings rebound and substantial sequential margin improvement. The known April-May data support consensus revenue, and the company’s pricing discipline should remain a major strength.</w:t>
      </w:r>
    </w:p>
    <w:p>
      <w:pPr>
        <w:pStyle w:val="BodyText"/>
      </w:pPr>
      <w:r>
        <w:t xml:space="preserve">However,</w:t>
      </w:r>
      <w:r>
        <w:t xml:space="preserve"> </w:t>
      </w:r>
      <w:r>
        <w:rPr>
          <w:b/>
          <w:bCs/>
        </w:rPr>
        <w:t xml:space="preserve">the report will be judged on volume quality, not simply the EPS result</w:t>
      </w:r>
      <w:r>
        <w:t xml:space="preserve">. Investors need evidence that June and July shipments are improving fast enough to validate management’s market-share confidence and unlock the operating leverage embedded in ODFL’s underutilized network. At roughly 35× expected 2027 earnings, an ordinary beat may not be sufficient; the stock likely needs a convincing volume inflection and constructive second-half outlook.</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odfl.com/?trk=public_post-text" TargetMode="External" /><Relationship Type="http://schemas.openxmlformats.org/officeDocument/2006/relationships/hyperlink" Id="rId13" Target="https://ir.odfl.com/sec-filings/all-sec-filings/content/0000878927-26-000015/odfl-ex99_1.htm" TargetMode="External" /><Relationship Type="http://schemas.openxmlformats.org/officeDocument/2006/relationships/hyperlink" Id="rId23" Target="https://www.barchart.com/stocks/quotes/odfl/earnings-estimates?utm_source=openai" TargetMode="External" /><Relationship Type="http://schemas.openxmlformats.org/officeDocument/2006/relationships/hyperlink" Id="rId11" Target="https://www.tipranks.com/stocks/odfl/earnings?utm_source=openai" TargetMode="External" /><Relationship Type="http://schemas.openxmlformats.org/officeDocument/2006/relationships/hyperlink" Id="rId16" Target="https://xpologisticsinc.gcs-web.com/news-releases/news-release-details/xpo-provides-north-american-ltl-operating-data-may-2026?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odfl.com/?trk=public_post-text" TargetMode="External" /><Relationship Type="http://schemas.openxmlformats.org/officeDocument/2006/relationships/hyperlink" Id="rId13" Target="https://ir.odfl.com/sec-filings/all-sec-filings/content/0000878927-26-000015/odfl-ex99_1.htm" TargetMode="External" /><Relationship Type="http://schemas.openxmlformats.org/officeDocument/2006/relationships/hyperlink" Id="rId23" Target="https://www.barchart.com/stocks/quotes/odfl/earnings-estimates?utm_source=openai" TargetMode="External" /><Relationship Type="http://schemas.openxmlformats.org/officeDocument/2006/relationships/hyperlink" Id="rId11" Target="https://www.tipranks.com/stocks/odfl/earnings?utm_source=openai" TargetMode="External" /><Relationship Type="http://schemas.openxmlformats.org/officeDocument/2006/relationships/hyperlink" Id="rId16" Target="https://xpologisticsinc.gcs-web.com/news-releases/news-release-details/xpo-provides-north-american-ltl-operating-data-may-2026?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2026-07-29T00:59:22Z</dcterms:created>
  <dcterms:modified xsi:type="dcterms:W3CDTF">2026-07-29T00:59:22Z</dcterms:modified>
</cp:coreProperties>
</file>

<file path=docProps/custom.xml><?xml version="1.0" encoding="utf-8"?>
<Properties xmlns="http://schemas.openxmlformats.org/officeDocument/2006/custom-properties" xmlns:vt="http://schemas.openxmlformats.org/officeDocument/2006/docPropsVTypes"/>
</file>