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odfl-2q26-earnings-preview"/>
    <w:p>
      <w:pPr>
        <w:pStyle w:val="Heading1"/>
      </w:pPr>
      <w:r>
        <w:t xml:space="preserve">ODFL 2Q26 Earnings Preview</w:t>
      </w:r>
    </w:p>
    <w:p>
      <w:pPr>
        <w:pStyle w:val="BlockText"/>
      </w:pPr>
      <w:r>
        <w:rPr>
          <w:b/>
          <w:bCs/>
        </w:rPr>
        <w:t xml:space="preserve">Timing note:</w:t>
      </w:r>
      <w:r>
        <w:t xml:space="preserve"> </w:t>
      </w:r>
      <w:r>
        <w:t xml:space="preserve">The event is</w:t>
      </w:r>
      <w:r>
        <w:t xml:space="preserve"> </w:t>
      </w:r>
      <w:r>
        <w:rPr>
          <w:b/>
          <w:bCs/>
        </w:rPr>
        <w:t xml:space="preserve">today, Wednesday, July 29, 2026</w:t>
      </w:r>
      <w:r>
        <w:t xml:space="preserve">, not tomorrow. Old Dominion plans to release results</w:t>
      </w:r>
      <w:r>
        <w:t xml:space="preserve"> </w:t>
      </w:r>
      <w:r>
        <w:rPr>
          <w:b/>
          <w:bCs/>
        </w:rPr>
        <w:t xml:space="preserve">before the market opens</w:t>
      </w:r>
      <w:r>
        <w:t xml:space="preserve"> </w:t>
      </w:r>
      <w:r>
        <w:t xml:space="preserve">and hold its earnings call at</w:t>
      </w:r>
      <w:r>
        <w:t xml:space="preserve"> </w:t>
      </w:r>
      <w:r>
        <w:rPr>
          <w:b/>
          <w:bCs/>
        </w:rPr>
        <w:t xml:space="preserve">10:00 a.m. ET</w:t>
      </w:r>
      <w:r>
        <w:t xml:space="preserve">.</w:t>
      </w:r>
    </w:p>
    <w:bookmarkStart w:id="9" w:name="Xc1b656c5dc53485041db7353d6552491fa610ab"/>
    <w:p>
      <w:pPr>
        <w:pStyle w:val="Heading2"/>
      </w:pPr>
      <w:r>
        <w:t xml:space="preserve">Investment setup: a yield-and-margin recovery test</w:t>
      </w:r>
    </w:p>
    <w:p>
      <w:pPr>
        <w:pStyle w:val="FirstParagraph"/>
      </w:pPr>
      <w:r>
        <w:t xml:space="preserve">Old Dominion Freight Line enters 2Q26 with a more constructive setup than it had three months ago. The key evidence is clear:</w:t>
      </w:r>
      <w:r>
        <w:t xml:space="preserve"> </w:t>
      </w:r>
      <w:r>
        <w:rPr>
          <w:b/>
          <w:bCs/>
        </w:rPr>
        <w:t xml:space="preserve">revenue accelerated through April and May despite still-negative tonnage</w:t>
      </w:r>
      <w:r>
        <w:t xml:space="preserve">, driven by disciplined price/yield and improving freight mix. The investment question is whether the accelerating top line was enough to restore the company’s characteristic operating leverage and establish a credible path toward positive volume growth in the second half.</w:t>
      </w:r>
    </w:p>
    <w:p>
      <w:pPr>
        <w:pStyle w:val="BodyText"/>
      </w:pPr>
      <w:r>
        <w:t xml:space="preserve">This is unlikely to be a simple “beat/miss” quarter. The market should focus most on:</w:t>
      </w:r>
    </w:p>
    <w:p>
      <w:pPr>
        <w:pStyle w:val="Compact"/>
        <w:numPr>
          <w:ilvl w:val="0"/>
          <w:numId w:val="1001"/>
        </w:numPr>
      </w:pPr>
      <w:r>
        <w:rPr>
          <w:b/>
          <w:bCs/>
        </w:rPr>
        <w:t xml:space="preserve">June tonnage and shipment trends</w:t>
      </w:r>
      <w:r>
        <w:t xml:space="preserve"> </w:t>
      </w:r>
      <w:r>
        <w:t xml:space="preserve">— did the year-over-year volume decline continue to narrow?</w:t>
      </w:r>
    </w:p>
    <w:p>
      <w:pPr>
        <w:pStyle w:val="Compact"/>
        <w:numPr>
          <w:ilvl w:val="0"/>
          <w:numId w:val="1001"/>
        </w:numPr>
      </w:pPr>
      <w:r>
        <w:rPr>
          <w:b/>
          <w:bCs/>
        </w:rPr>
        <w:t xml:space="preserve">Operating ratio (OR)</w:t>
      </w:r>
      <w:r>
        <w:t xml:space="preserve"> </w:t>
      </w:r>
      <w:r>
        <w:t xml:space="preserve">— did ODFL deliver the normal 2Q seasonal improvement it guided toward?</w:t>
      </w:r>
    </w:p>
    <w:p>
      <w:pPr>
        <w:pStyle w:val="Compact"/>
        <w:numPr>
          <w:ilvl w:val="0"/>
          <w:numId w:val="1001"/>
        </w:numPr>
      </w:pPr>
      <w:r>
        <w:rPr>
          <w:b/>
          <w:bCs/>
        </w:rPr>
        <w:t xml:space="preserve">Revenue quality</w:t>
      </w:r>
      <w:r>
        <w:t xml:space="preserve"> </w:t>
      </w:r>
      <w:r>
        <w:t xml:space="preserve">— can ex-fuel revenue per hundredweight remain above the company’s 4%–4.5% prior expectation?</w:t>
      </w:r>
    </w:p>
    <w:p>
      <w:pPr>
        <w:pStyle w:val="Compact"/>
        <w:numPr>
          <w:ilvl w:val="0"/>
          <w:numId w:val="1001"/>
        </w:numPr>
      </w:pPr>
      <w:r>
        <w:rPr>
          <w:b/>
          <w:bCs/>
        </w:rPr>
        <w:t xml:space="preserve">Forward demand commentary</w:t>
      </w:r>
      <w:r>
        <w:t xml:space="preserve"> </w:t>
      </w:r>
      <w:r>
        <w:t xml:space="preserve">— particularly on industrial freight, bid wins, and whether the early recovery is persisting into July.</w:t>
      </w:r>
    </w:p>
    <w:p>
      <w:pPr>
        <w:pStyle w:val="Compact"/>
        <w:numPr>
          <w:ilvl w:val="0"/>
          <w:numId w:val="1001"/>
        </w:numPr>
      </w:pPr>
      <w:r>
        <w:rPr>
          <w:b/>
          <w:bCs/>
        </w:rPr>
        <w:t xml:space="preserve">The shape of earnings recovery</w:t>
      </w:r>
      <w:r>
        <w:t xml:space="preserve"> </w:t>
      </w:r>
      <w:r>
        <w:t xml:space="preserve">— investors need evidence that fixed-cost leverage can resume as network density improves.</w:t>
      </w:r>
    </w:p>
    <w:bookmarkEnd w:id="9"/>
    <w:bookmarkStart w:id="11" w:name="what-odfl-has-already-told-investors"/>
    <w:p>
      <w:pPr>
        <w:pStyle w:val="Heading2"/>
      </w:pPr>
      <w:r>
        <w:t xml:space="preserve">What ODFL has already told investors</w:t>
      </w:r>
    </w:p>
    <w:bookmarkStart w:id="10" w:name="Xab51a2245eb1d2e4f77839cc689dab2707527de"/>
    <w:p>
      <w:pPr>
        <w:pStyle w:val="Heading3"/>
      </w:pPr>
      <w:r>
        <w:t xml:space="preserve">April and May point to strong revenue, but not yet a volume recovery</w:t>
      </w:r>
    </w:p>
    <w:p>
      <w:pPr>
        <w:pStyle w:val="FirstParagraph"/>
      </w:pPr>
      <w:r>
        <w:t xml:space="preserve">ODFL’s disclosed trends show a meaningful improvement during the quarter: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April commentary</w:t>
            </w:r>
          </w:p>
        </w:tc>
        <w:tc>
          <w:tcPr/>
          <w:p>
            <w:pPr>
              <w:pStyle w:val="Compact"/>
              <w:jc w:val="right"/>
            </w:pPr>
            <w:r>
              <w:t xml:space="preserve">May reported result</w:t>
            </w:r>
          </w:p>
        </w:tc>
        <w:tc>
          <w:tcPr/>
          <w:p>
            <w:pPr>
              <w:pStyle w:val="Compact"/>
            </w:pPr>
            <w:r>
              <w:t xml:space="preserve">Read-through</w:t>
            </w:r>
          </w:p>
        </w:tc>
      </w:tr>
      <w:tr>
        <w:tc>
          <w:tcPr/>
          <w:p>
            <w:pPr>
              <w:pStyle w:val="Compact"/>
            </w:pPr>
            <w:r>
              <w:t xml:space="preserve">Revenue per day, YoY</w:t>
            </w:r>
          </w:p>
        </w:tc>
        <w:tc>
          <w:tcPr/>
          <w:p>
            <w:pPr>
              <w:pStyle w:val="Compact"/>
              <w:jc w:val="right"/>
            </w:pPr>
            <w:r>
              <w:t xml:space="preserve">~+7%</w:t>
            </w:r>
          </w:p>
        </w:tc>
        <w:tc>
          <w:tcPr/>
          <w:p>
            <w:pPr>
              <w:pStyle w:val="Compact"/>
              <w:jc w:val="right"/>
            </w:pPr>
            <w:r>
              <w:t xml:space="preserve">+12.3%</w:t>
            </w:r>
          </w:p>
        </w:tc>
        <w:tc>
          <w:tcPr/>
          <w:p>
            <w:pPr>
              <w:pStyle w:val="Compact"/>
            </w:pPr>
            <w:r>
              <w:t xml:space="preserve">Material top-line acceleration</w:t>
            </w:r>
          </w:p>
        </w:tc>
      </w:tr>
      <w:tr>
        <w:tc>
          <w:tcPr/>
          <w:p>
            <w:pPr>
              <w:pStyle w:val="Compact"/>
            </w:pPr>
            <w:r>
              <w:t xml:space="preserve">LTL tons per day, YoY</w:t>
            </w:r>
          </w:p>
        </w:tc>
        <w:tc>
          <w:tcPr/>
          <w:p>
            <w:pPr>
              <w:pStyle w:val="Compact"/>
              <w:jc w:val="right"/>
            </w:pPr>
            <w:r>
              <w:t xml:space="preserve">~-6.5%</w:t>
            </w:r>
          </w:p>
        </w:tc>
        <w:tc>
          <w:tcPr/>
          <w:p>
            <w:pPr>
              <w:pStyle w:val="Compact"/>
              <w:jc w:val="right"/>
            </w:pPr>
            <w:r>
              <w:t xml:space="preserve">-3.8%</w:t>
            </w:r>
          </w:p>
        </w:tc>
        <w:tc>
          <w:tcPr/>
          <w:p>
            <w:pPr>
              <w:pStyle w:val="Compact"/>
            </w:pPr>
            <w:r>
              <w:t xml:space="preserve">Volume decline narrowed</w:t>
            </w:r>
          </w:p>
        </w:tc>
      </w:tr>
      <w:tr>
        <w:tc>
          <w:tcPr/>
          <w:p>
            <w:pPr>
              <w:pStyle w:val="Compact"/>
            </w:pPr>
            <w:r>
              <w:t xml:space="preserve">LTL shipments per day, YoY</w:t>
            </w:r>
          </w:p>
        </w:tc>
        <w:tc>
          <w:tcPr/>
          <w:p>
            <w:pPr>
              <w:pStyle w:val="Compact"/>
              <w:jc w:val="right"/>
            </w:pPr>
            <w:r>
              <w:t xml:space="preserve">n/a</w:t>
            </w:r>
          </w:p>
        </w:tc>
        <w:tc>
          <w:tcPr/>
          <w:p>
            <w:pPr>
              <w:pStyle w:val="Compact"/>
              <w:jc w:val="right"/>
            </w:pPr>
            <w:r>
              <w:t xml:space="preserve">-5.3%</w:t>
            </w:r>
          </w:p>
        </w:tc>
        <w:tc>
          <w:tcPr/>
          <w:p>
            <w:pPr>
              <w:pStyle w:val="Compact"/>
            </w:pPr>
            <w:r>
              <w:t xml:space="preserve">Still weak bill count</w:t>
            </w:r>
          </w:p>
        </w:tc>
      </w:tr>
      <w:tr>
        <w:tc>
          <w:tcPr/>
          <w:p>
            <w:pPr>
              <w:pStyle w:val="Compact"/>
            </w:pPr>
            <w:r>
              <w:t xml:space="preserve">Weight per shipment, YoY</w:t>
            </w:r>
          </w:p>
        </w:tc>
        <w:tc>
          <w:tcPr/>
          <w:p>
            <w:pPr>
              <w:pStyle w:val="Compact"/>
              <w:jc w:val="right"/>
            </w:pPr>
            <w:r>
              <w:t xml:space="preserve">~+1%</w:t>
            </w:r>
          </w:p>
        </w:tc>
        <w:tc>
          <w:tcPr/>
          <w:p>
            <w:pPr>
              <w:pStyle w:val="Compact"/>
              <w:jc w:val="right"/>
            </w:pPr>
            <w:r>
              <w:t xml:space="preserve">+1.6%</w:t>
            </w:r>
          </w:p>
        </w:tc>
        <w:tc>
          <w:tcPr/>
          <w:p>
            <w:pPr>
              <w:pStyle w:val="Compact"/>
            </w:pPr>
            <w:r>
              <w:t xml:space="preserve">Better mix / freight quality</w:t>
            </w:r>
          </w:p>
        </w:tc>
      </w:tr>
      <w:tr>
        <w:tc>
          <w:tcPr/>
          <w:p>
            <w:pPr>
              <w:pStyle w:val="Compact"/>
            </w:pPr>
            <w:r>
              <w:t xml:space="preserve">Revenue/cwt ex-fuel, YoY</w:t>
            </w:r>
          </w:p>
        </w:tc>
        <w:tc>
          <w:tcPr/>
          <w:p>
            <w:pPr>
              <w:pStyle w:val="Compact"/>
              <w:jc w:val="right"/>
            </w:pPr>
            <w:r>
              <w:t xml:space="preserve">~+4% to +4.5%</w:t>
            </w:r>
          </w:p>
        </w:tc>
        <w:tc>
          <w:tcPr/>
          <w:p>
            <w:pPr>
              <w:pStyle w:val="Compact"/>
              <w:jc w:val="right"/>
            </w:pPr>
            <w:r>
              <w:t xml:space="preserve">2Q-to-date +5.4%</w:t>
            </w:r>
          </w:p>
        </w:tc>
        <w:tc>
          <w:tcPr/>
          <w:p>
            <w:pPr>
              <w:pStyle w:val="Compact"/>
            </w:pPr>
            <w:r>
              <w:t xml:space="preserve">Pricing exceeded prior framework</w:t>
            </w:r>
          </w:p>
        </w:tc>
      </w:tr>
    </w:tbl>
    <w:p>
      <w:pPr>
        <w:pStyle w:val="BodyText"/>
      </w:pPr>
      <w:r>
        <w:t xml:space="preserve">The important nuance is that</w:t>
      </w:r>
      <w:r>
        <w:t xml:space="preserve"> </w:t>
      </w:r>
      <w:r>
        <w:rPr>
          <w:b/>
          <w:bCs/>
        </w:rPr>
        <w:t xml:space="preserve">revenue growth is not being driven by a full demand recovery</w:t>
      </w:r>
      <w:r>
        <w:t xml:space="preserve">. It is being driven by price, fuel surcharge dynamics, and a favorable shift in weight per shipment. That is positive for near-term earnings and demonstrates ODFL’s pricing discipline, but a durable rerating likely requires tonnage to cross into positive territory.</w:t>
      </w:r>
    </w:p>
    <w:p>
      <w:pPr>
        <w:pStyle w:val="BodyText"/>
      </w:pPr>
      <w:r>
        <w:t xml:space="preserve">The May update was particularly encouraging: revenue per day grew 12.3% while the tonnage decline improved to 3.8%, versus an approximately 6.5% April decline. June will determine whether this was a genuine recovery trajectory or simply a month-to-month improvement against an easy comparison.</w:t>
      </w:r>
    </w:p>
    <w:bookmarkEnd w:id="10"/>
    <w:bookmarkEnd w:id="11"/>
    <w:bookmarkStart w:id="13" w:name="X31999e98b93e348747de1a3c6e9d1083f350536"/>
    <w:p>
      <w:pPr>
        <w:pStyle w:val="Heading2"/>
      </w:pPr>
      <w:r>
        <w:t xml:space="preserve">The margin setup: OR should improve sharply sequentially</w:t>
      </w:r>
    </w:p>
    <w:p>
      <w:pPr>
        <w:pStyle w:val="FirstParagraph"/>
      </w:pPr>
      <w:r>
        <w:t xml:space="preserve">In 1Q26, ODFL reported:</w:t>
      </w:r>
    </w:p>
    <w:p>
      <w:pPr>
        <w:pStyle w:val="Compact"/>
        <w:numPr>
          <w:ilvl w:val="0"/>
          <w:numId w:val="1002"/>
        </w:numPr>
      </w:pPr>
      <w:r>
        <w:rPr>
          <w:b/>
          <w:bCs/>
        </w:rPr>
        <w:t xml:space="preserve">Revenue:</w:t>
      </w:r>
      <w:r>
        <w:t xml:space="preserve"> </w:t>
      </w:r>
      <w:r>
        <w:t xml:space="preserve">$1.335 billion, down 2.9% year over year</w:t>
      </w:r>
    </w:p>
    <w:p>
      <w:pPr>
        <w:pStyle w:val="Compact"/>
        <w:numPr>
          <w:ilvl w:val="0"/>
          <w:numId w:val="1002"/>
        </w:numPr>
      </w:pPr>
      <w:r>
        <w:rPr>
          <w:b/>
          <w:bCs/>
        </w:rPr>
        <w:t xml:space="preserve">Diluted EPS:</w:t>
      </w:r>
      <w:r>
        <w:t xml:space="preserve"> </w:t>
      </w:r>
      <w:r>
        <w:t xml:space="preserve">$1.14, down from $1.19 a year earlier</w:t>
      </w:r>
    </w:p>
    <w:p>
      <w:pPr>
        <w:pStyle w:val="Compact"/>
        <w:numPr>
          <w:ilvl w:val="0"/>
          <w:numId w:val="1002"/>
        </w:numPr>
      </w:pPr>
      <w:r>
        <w:rPr>
          <w:b/>
          <w:bCs/>
        </w:rPr>
        <w:t xml:space="preserve">Operating ratio:</w:t>
      </w:r>
      <w:r>
        <w:t xml:space="preserve"> </w:t>
      </w:r>
      <w:r>
        <w:rPr>
          <w:b/>
          <w:bCs/>
        </w:rPr>
        <w:t xml:space="preserve">76.2%</w:t>
      </w:r>
      <w:r>
        <w:t xml:space="preserve">, up 80 bps year over year</w:t>
      </w:r>
    </w:p>
    <w:p>
      <w:pPr>
        <w:pStyle w:val="FirstParagraph"/>
      </w:pPr>
      <w:r>
        <w:t xml:space="preserve">Management’s 2Q framework called for a</w:t>
      </w:r>
      <w:r>
        <w:t xml:space="preserve"> </w:t>
      </w:r>
      <w:r>
        <w:rPr>
          <w:b/>
          <w:bCs/>
        </w:rPr>
        <w:t xml:space="preserve">300–350 bps sequential improvement in operating ratio</w:t>
      </w:r>
      <w:r>
        <w:t xml:space="preserve"> </w:t>
      </w:r>
      <w:r>
        <w:t xml:space="preserve">from 1Q, assuming sequential volume growth. That implies an approximate</w:t>
      </w:r>
      <w:r>
        <w:t xml:space="preserve"> </w:t>
      </w:r>
      <w:r>
        <w:rPr>
          <w:b/>
          <w:bCs/>
        </w:rPr>
        <w:t xml:space="preserve">72.7%–73.2% OR</w:t>
      </w:r>
      <w:r>
        <w:t xml:space="preserve"> </w:t>
      </w:r>
      <w:r>
        <w:t xml:space="preserve">for 2Q26.</w:t>
      </w:r>
    </w:p>
    <w:p>
      <w:pPr>
        <w:pStyle w:val="BodyText"/>
      </w:pPr>
      <w:r>
        <w:t xml:space="preserve">That range is the most useful benchmark going into the report. A result within it would validate the expected seasonal step-up; a result better than it would indicate that yield and cost control offset weak density more effectively than expected. A weaker result would raise questions around volume leverage, benefit costs, and expense inflation.</w:t>
      </w:r>
    </w:p>
    <w:bookmarkStart w:id="12" w:name="X589304e7b9ae2556e06e493f09f7ab7725ba127"/>
    <w:p>
      <w:pPr>
        <w:pStyle w:val="Heading3"/>
      </w:pPr>
      <w:r>
        <w:t xml:space="preserve">Why earnings can grow even before tonnage turns positive</w:t>
      </w:r>
    </w:p>
    <w:p>
      <w:pPr>
        <w:pStyle w:val="FirstParagraph"/>
      </w:pPr>
      <w:r>
        <w:t xml:space="preserve">ODFL has substantial fixed-cost leverage. In 1Q, management cited more than 35% excess service-center capacity and said its current workforce, fleet, and network were appropriately positioned to handle sequential volume growth. The company has continued investing through the downturn rather than reducing its network for near-term margin protection.</w:t>
      </w:r>
    </w:p>
    <w:p>
      <w:pPr>
        <w:pStyle w:val="BodyText"/>
      </w:pPr>
      <w:r>
        <w:t xml:space="preserve">That creates two opposing forces:</w:t>
      </w:r>
    </w:p>
    <w:p>
      <w:pPr>
        <w:pStyle w:val="Compact"/>
        <w:numPr>
          <w:ilvl w:val="0"/>
          <w:numId w:val="1003"/>
        </w:numPr>
      </w:pPr>
      <w:r>
        <w:rPr>
          <w:b/>
          <w:bCs/>
        </w:rPr>
        <w:t xml:space="preserve">Near-term headwind:</w:t>
      </w:r>
      <w:r>
        <w:t xml:space="preserve"> </w:t>
      </w:r>
      <w:r>
        <w:t xml:space="preserve">Underutilization raises depreciation and overhead costs as a percentage of revenue.</w:t>
      </w:r>
    </w:p>
    <w:p>
      <w:pPr>
        <w:pStyle w:val="Compact"/>
        <w:numPr>
          <w:ilvl w:val="0"/>
          <w:numId w:val="1003"/>
        </w:numPr>
      </w:pPr>
      <w:r>
        <w:rPr>
          <w:b/>
          <w:bCs/>
        </w:rPr>
        <w:t xml:space="preserve">Recovery upside:</w:t>
      </w:r>
      <w:r>
        <w:t xml:space="preserve"> </w:t>
      </w:r>
      <w:r>
        <w:t xml:space="preserve">Incremental freight can be absorbed with relatively limited incremental fixed cost, producing significant OR improvement once network density returns.</w:t>
      </w:r>
    </w:p>
    <w:p>
      <w:pPr>
        <w:pStyle w:val="FirstParagraph"/>
      </w:pPr>
      <w:r>
        <w:t xml:space="preserve">The 2Q report should therefore demonstrate whether the company is beginning to capture that leverage. Margin improvement driven only by pricing is constructive; margin improvement alongside better density and fewer negative-volume comparisons would be much more powerful.</w:t>
      </w:r>
    </w:p>
    <w:bookmarkEnd w:id="12"/>
    <w:bookmarkEnd w:id="13"/>
    <w:bookmarkStart w:id="18" w:name="what-to-listen-for-on-the-call"/>
    <w:p>
      <w:pPr>
        <w:pStyle w:val="Heading2"/>
      </w:pPr>
      <w:r>
        <w:t xml:space="preserve">What to listen for on the call</w:t>
      </w:r>
    </w:p>
    <w:bookmarkStart w:id="14" w:name="Xc5db4f9169cacd54e2f25588c534c0faa55cb88"/>
    <w:p>
      <w:pPr>
        <w:pStyle w:val="Heading3"/>
      </w:pPr>
      <w:r>
        <w:t xml:space="preserve">1. June operating statistics and the July run rate</w:t>
      </w:r>
    </w:p>
    <w:p>
      <w:pPr>
        <w:pStyle w:val="FirstParagraph"/>
      </w:pPr>
      <w:r>
        <w:t xml:space="preserve">ODFL does not disclose every month’s metrics before earnings. June is therefore the principal unknown in the quarter.</w:t>
      </w:r>
    </w:p>
    <w:p>
      <w:pPr>
        <w:pStyle w:val="BodyText"/>
      </w:pPr>
      <w:r>
        <w:rPr>
          <w:b/>
          <w:bCs/>
        </w:rPr>
        <w:t xml:space="preserve">Bullish outcome:</w:t>
      </w:r>
      <w:r>
        <w:t xml:space="preserve"> </w:t>
      </w:r>
      <w:r>
        <w:t xml:space="preserve">June tonnage is near flat or positive year over year, with positive sequential momentum into July.</w:t>
      </w:r>
    </w:p>
    <w:p>
      <w:pPr>
        <w:pStyle w:val="BodyText"/>
      </w:pPr>
      <w:r>
        <w:rPr>
          <w:b/>
          <w:bCs/>
        </w:rPr>
        <w:t xml:space="preserve">Adequate outcome:</w:t>
      </w:r>
      <w:r>
        <w:t xml:space="preserve"> </w:t>
      </w:r>
      <w:r>
        <w:t xml:space="preserve">Tonnage remains negative, but continues to improve from May’s -3.8% pace; management maintains confidence in a return to year-over-year growth later in 2026.</w:t>
      </w:r>
    </w:p>
    <w:p>
      <w:pPr>
        <w:pStyle w:val="BodyText"/>
      </w:pPr>
      <w:r>
        <w:rPr>
          <w:b/>
          <w:bCs/>
        </w:rPr>
        <w:t xml:space="preserve">Bearish outcome:</w:t>
      </w:r>
      <w:r>
        <w:t xml:space="preserve"> </w:t>
      </w:r>
      <w:r>
        <w:t xml:space="preserve">The May improvement reverses, or management characterizes July demand as softer due to customer caution, industrial weakness, or disrupted freight patterns.</w:t>
      </w:r>
    </w:p>
    <w:bookmarkEnd w:id="14"/>
    <w:bookmarkStart w:id="15" w:name="Xdb95ea72957729f0e31308307f8f42f8ffec2ec"/>
    <w:p>
      <w:pPr>
        <w:pStyle w:val="Heading3"/>
      </w:pPr>
      <w:r>
        <w:t xml:space="preserve">2. Ex-fuel yield durability</w:t>
      </w:r>
    </w:p>
    <w:p>
      <w:pPr>
        <w:pStyle w:val="FirstParagraph"/>
      </w:pPr>
      <w:r>
        <w:t xml:space="preserve">Management had initially expected 2Q ex-fuel revenue per hundredweight to rise 4%–4.5% year over year. Through May, quarter-to-date growth was already</w:t>
      </w:r>
      <w:r>
        <w:t xml:space="preserve"> </w:t>
      </w:r>
      <w:r>
        <w:rPr>
          <w:b/>
          <w:bCs/>
        </w:rPr>
        <w:t xml:space="preserve">5.4%</w:t>
      </w:r>
      <w:r>
        <w:t xml:space="preserve">. Investors should determine whether the outperformance came from sustainable contractual pricing and mix, or whether it benefited from temporary factors.</w:t>
      </w:r>
    </w:p>
    <w:p>
      <w:pPr>
        <w:pStyle w:val="BodyText"/>
      </w:pPr>
      <w:r>
        <w:t xml:space="preserve">Questions to ask:</w:t>
      </w:r>
    </w:p>
    <w:p>
      <w:pPr>
        <w:pStyle w:val="Compact"/>
        <w:numPr>
          <w:ilvl w:val="0"/>
          <w:numId w:val="1004"/>
        </w:numPr>
      </w:pPr>
      <w:r>
        <w:t xml:space="preserve">What was June ex-fuel revenue/cwt growth?</w:t>
      </w:r>
    </w:p>
    <w:p>
      <w:pPr>
        <w:pStyle w:val="Compact"/>
        <w:numPr>
          <w:ilvl w:val="0"/>
          <w:numId w:val="1004"/>
        </w:numPr>
      </w:pPr>
      <w:r>
        <w:t xml:space="preserve">How much of the yield strength came from weight per shipment and mix?</w:t>
      </w:r>
    </w:p>
    <w:p>
      <w:pPr>
        <w:pStyle w:val="Compact"/>
        <w:numPr>
          <w:ilvl w:val="0"/>
          <w:numId w:val="1004"/>
        </w:numPr>
      </w:pPr>
      <w:r>
        <w:t xml:space="preserve">Are customer contract renewals and general-rate increases holding at similar levels?</w:t>
      </w:r>
    </w:p>
    <w:p>
      <w:pPr>
        <w:pStyle w:val="Compact"/>
        <w:numPr>
          <w:ilvl w:val="0"/>
          <w:numId w:val="1004"/>
        </w:numPr>
      </w:pPr>
      <w:r>
        <w:t xml:space="preserve">Is ODFL still achieving a favorable spread between revenue per shipment and cost per shipment?</w:t>
      </w:r>
    </w:p>
    <w:p>
      <w:pPr>
        <w:pStyle w:val="FirstParagraph"/>
      </w:pPr>
      <w:r>
        <w:t xml:space="preserve">A sustained &gt;4% ex-fuel yield result would reinforce the view that ODFL’s service advantage supports pricing even in a relatively soft demand environment.</w:t>
      </w:r>
    </w:p>
    <w:bookmarkEnd w:id="15"/>
    <w:bookmarkStart w:id="16" w:name="X09d4a11471d9c7995d5082bb2de25f49794368b"/>
    <w:p>
      <w:pPr>
        <w:pStyle w:val="Heading3"/>
      </w:pPr>
      <w:r>
        <w:t xml:space="preserve">3. Industrial demand versus retail</w:t>
      </w:r>
    </w:p>
    <w:p>
      <w:pPr>
        <w:pStyle w:val="FirstParagraph"/>
      </w:pPr>
      <w:r>
        <w:t xml:space="preserve">Management indicated in 1Q that the retail side of the business had been more supportive, while industrial freight was only beginning to improve. It also identified higher weight per shipment as a potential leading indicator of better industrial activity.</w:t>
      </w:r>
    </w:p>
    <w:p>
      <w:pPr>
        <w:pStyle w:val="BodyText"/>
      </w:pPr>
      <w:r>
        <w:t xml:space="preserve">This matters because industrial freight is typically heavier and can lift</w:t>
      </w:r>
      <w:r>
        <w:t xml:space="preserve"> </w:t>
      </w:r>
      <w:r>
        <w:rPr>
          <w:b/>
          <w:bCs/>
        </w:rPr>
        <w:t xml:space="preserve">revenue per shipment</w:t>
      </w:r>
      <w:r>
        <w:t xml:space="preserve"> </w:t>
      </w:r>
      <w:r>
        <w:t xml:space="preserve">faster than costs, improving network productivity and margins. Continued improvement in weight per shipment would therefore be more than a mix datapoint—it would be evidence of a healthier freight cycle.</w:t>
      </w:r>
    </w:p>
    <w:bookmarkEnd w:id="16"/>
    <w:bookmarkStart w:id="17" w:name="X0b460698551e960a9cbfde137357daca6633efc"/>
    <w:p>
      <w:pPr>
        <w:pStyle w:val="Heading3"/>
      </w:pPr>
      <w:r>
        <w:t xml:space="preserve">4. Share gains and bid activity</w:t>
      </w:r>
    </w:p>
    <w:p>
      <w:pPr>
        <w:pStyle w:val="FirstParagraph"/>
      </w:pPr>
      <w:r>
        <w:t xml:space="preserve">ODFL has consistently argued that its service quality makes it a major share winner in the early stages of a recovery. On the 1Q call, management said bid-win rates were improving and that it was seeing freight shift back toward LTL as truckload conditions tightened.</w:t>
      </w:r>
    </w:p>
    <w:p>
      <w:pPr>
        <w:pStyle w:val="BodyText"/>
      </w:pPr>
      <w:r>
        <w:t xml:space="preserve">The market should press for tangible evidence:</w:t>
      </w:r>
    </w:p>
    <w:p>
      <w:pPr>
        <w:pStyle w:val="Compact"/>
        <w:numPr>
          <w:ilvl w:val="0"/>
          <w:numId w:val="1005"/>
        </w:numPr>
      </w:pPr>
      <w:r>
        <w:t xml:space="preserve">Is ODFL gaining new accounts or more share of wallet with existing customers?</w:t>
      </w:r>
    </w:p>
    <w:p>
      <w:pPr>
        <w:pStyle w:val="Compact"/>
        <w:numPr>
          <w:ilvl w:val="0"/>
          <w:numId w:val="1005"/>
        </w:numPr>
      </w:pPr>
      <w:r>
        <w:t xml:space="preserve">Are bid wins translating into actual volume?</w:t>
      </w:r>
    </w:p>
    <w:p>
      <w:pPr>
        <w:pStyle w:val="Compact"/>
        <w:numPr>
          <w:ilvl w:val="0"/>
          <w:numId w:val="1005"/>
        </w:numPr>
      </w:pPr>
      <w:r>
        <w:t xml:space="preserve">Is the company still seeing freight that had been consolidated into truckload shift back to LTL?</w:t>
      </w:r>
    </w:p>
    <w:p>
      <w:pPr>
        <w:pStyle w:val="Compact"/>
        <w:numPr>
          <w:ilvl w:val="0"/>
          <w:numId w:val="1005"/>
        </w:numPr>
      </w:pPr>
      <w:r>
        <w:t xml:space="preserve">Are competitive conditions becoming more rational, or is pricing pressure increasing?</w:t>
      </w:r>
    </w:p>
    <w:bookmarkEnd w:id="17"/>
    <w:bookmarkEnd w:id="18"/>
    <w:bookmarkStart w:id="19" w:name="offsetting-risks"/>
    <w:p>
      <w:pPr>
        <w:pStyle w:val="Heading2"/>
      </w:pPr>
      <w:r>
        <w:t xml:space="preserve">Offsetting risks</w:t>
      </w:r>
    </w:p>
    <w:p>
      <w:pPr>
        <w:pStyle w:val="Compact"/>
        <w:numPr>
          <w:ilvl w:val="0"/>
          <w:numId w:val="1006"/>
        </w:numPr>
      </w:pPr>
      <w:r>
        <w:rPr>
          <w:b/>
          <w:bCs/>
        </w:rPr>
        <w:t xml:space="preserve">Volume is still negative.</w:t>
      </w:r>
      <w:r>
        <w:t xml:space="preserve"> </w:t>
      </w:r>
      <w:r>
        <w:t xml:space="preserve">Price-led revenue growth can sustain earnings for a period, but it cannot fully replace density-driven operating leverage.</w:t>
      </w:r>
    </w:p>
    <w:p>
      <w:pPr>
        <w:pStyle w:val="Compact"/>
        <w:numPr>
          <w:ilvl w:val="0"/>
          <w:numId w:val="1006"/>
        </w:numPr>
      </w:pPr>
      <w:r>
        <w:rPr>
          <w:b/>
          <w:bCs/>
        </w:rPr>
        <w:t xml:space="preserve">Cost pressure remains relevant.</w:t>
      </w:r>
      <w:r>
        <w:t xml:space="preserve"> </w:t>
      </w:r>
      <w:r>
        <w:t xml:space="preserve">Management flagged fringe-benefit expense and fuel-related inflation effects as potential headwinds. Fuel surcharge mechanics reduce direct exposure, but fuel can still affect related operating costs.</w:t>
      </w:r>
    </w:p>
    <w:p>
      <w:pPr>
        <w:pStyle w:val="Compact"/>
        <w:numPr>
          <w:ilvl w:val="0"/>
          <w:numId w:val="1006"/>
        </w:numPr>
      </w:pPr>
      <w:r>
        <w:rPr>
          <w:b/>
          <w:bCs/>
        </w:rPr>
        <w:t xml:space="preserve">Macro and trade uncertainty could defer industrial restocking.</w:t>
      </w:r>
      <w:r>
        <w:t xml:space="preserve"> </w:t>
      </w:r>
      <w:r>
        <w:t xml:space="preserve">ODFL customers may remain cautious on inventory and production decisions, delaying the expected freight recovery.</w:t>
      </w:r>
    </w:p>
    <w:p>
      <w:pPr>
        <w:pStyle w:val="Compact"/>
        <w:numPr>
          <w:ilvl w:val="0"/>
          <w:numId w:val="1006"/>
        </w:numPr>
      </w:pPr>
      <w:r>
        <w:rPr>
          <w:b/>
          <w:bCs/>
        </w:rPr>
        <w:t xml:space="preserve">High expectations for a seasonal margin step-up.</w:t>
      </w:r>
      <w:r>
        <w:t xml:space="preserve"> </w:t>
      </w:r>
      <w:r>
        <w:t xml:space="preserve">Because management set a fairly explicit OR framework, disappointment on margins may matter more than a modest revenue variance.</w:t>
      </w:r>
    </w:p>
    <w:bookmarkEnd w:id="19"/>
    <w:bookmarkStart w:id="20" w:name="Xe7d55d893efdc1cf2dfad6b628d620c2a2f9846"/>
    <w:p>
      <w:pPr>
        <w:pStyle w:val="Heading2"/>
      </w:pPr>
      <w:r>
        <w:t xml:space="preserve">Capital allocation and balance-sheet strength</w:t>
      </w:r>
    </w:p>
    <w:p>
      <w:pPr>
        <w:pStyle w:val="FirstParagraph"/>
      </w:pPr>
      <w:r>
        <w:t xml:space="preserve">ODFL remains financially well positioned. At the end of 1Q, it had $288 million of cash and only $40 million of total debt, while still generating $374 million of operating cash flow during the quarter. It repurchased approximately $88 million of stock in 1Q and paid its regular dividend. The company’s planned 2026 capital expenditure budget of roughly $265 million is materially below the elevated investment levels of the prior three years, which should support free-cash-flow conversion while preserving capacity for a recovery.</w:t>
      </w:r>
    </w:p>
    <w:p>
      <w:pPr>
        <w:pStyle w:val="BodyText"/>
      </w:pPr>
      <w:r>
        <w:t xml:space="preserve">The recent quarterly dividend declaration of</w:t>
      </w:r>
      <w:r>
        <w:t xml:space="preserve"> </w:t>
      </w:r>
      <w:r>
        <w:rPr>
          <w:b/>
          <w:bCs/>
        </w:rPr>
        <w:t xml:space="preserve">$0.29 per share</w:t>
      </w:r>
      <w:r>
        <w:t xml:space="preserve"> </w:t>
      </w:r>
      <w:r>
        <w:t xml:space="preserve">is not an earnings catalyst, but it reinforces the company’s capacity to fund dividends, buybacks, and network investment simultaneously.</w:t>
      </w:r>
    </w:p>
    <w:bookmarkEnd w:id="20"/>
    <w:bookmarkStart w:id="23" w:name="bottom-line"/>
    <w:p>
      <w:pPr>
        <w:pStyle w:val="Heading2"/>
      </w:pPr>
      <w:r>
        <w:t xml:space="preserve">Bottom line</w:t>
      </w:r>
    </w:p>
    <w:p>
      <w:pPr>
        <w:pStyle w:val="FirstParagraph"/>
      </w:pPr>
      <w:r>
        <w:rPr>
          <w:b/>
          <w:bCs/>
        </w:rPr>
        <w:t xml:space="preserve">The 2Q26 setup is constructive, but the stock likely needs evidence of volume normalization to sustain upside.</w:t>
      </w:r>
      <w:r>
        <w:t xml:space="preserve"> </w:t>
      </w:r>
      <w:r>
        <w:t xml:space="preserve">ODFL has already demonstrated that it can produce robust revenue growth through disciplined yield management; May’s 12.3% revenue-per-day growth and 5.4% quarter-to-date ex-fuel yield growth were strong signals. The next proof point is whether June completed the volume recovery and whether the company converted better revenue quality into an OR around—or better than—the implied</w:t>
      </w:r>
      <w:r>
        <w:t xml:space="preserve"> </w:t>
      </w:r>
      <w:r>
        <w:rPr>
          <w:b/>
          <w:bCs/>
        </w:rPr>
        <w:t xml:space="preserve">72.7%–73.2%</w:t>
      </w:r>
      <w:r>
        <w:t xml:space="preserve"> </w:t>
      </w:r>
      <w:r>
        <w:t xml:space="preserve">range.</w:t>
      </w:r>
    </w:p>
    <w:bookmarkStart w:id="21" w:name="what-would-be-bullish"/>
    <w:p>
      <w:pPr>
        <w:pStyle w:val="Heading3"/>
      </w:pPr>
      <w:r>
        <w:t xml:space="preserve">What would be bullish</w:t>
      </w:r>
    </w:p>
    <w:p>
      <w:pPr>
        <w:pStyle w:val="Compact"/>
        <w:numPr>
          <w:ilvl w:val="0"/>
          <w:numId w:val="1007"/>
        </w:numPr>
      </w:pPr>
      <w:r>
        <w:t xml:space="preserve">June tons near flat to positive year over year.</w:t>
      </w:r>
    </w:p>
    <w:p>
      <w:pPr>
        <w:pStyle w:val="Compact"/>
        <w:numPr>
          <w:ilvl w:val="0"/>
          <w:numId w:val="1007"/>
        </w:numPr>
      </w:pPr>
      <w:r>
        <w:t xml:space="preserve">Ex-fuel revenue/cwt remains above 4.5%.</w:t>
      </w:r>
    </w:p>
    <w:p>
      <w:pPr>
        <w:pStyle w:val="Compact"/>
        <w:numPr>
          <w:ilvl w:val="0"/>
          <w:numId w:val="1007"/>
        </w:numPr>
      </w:pPr>
      <w:r>
        <w:t xml:space="preserve">OR at or below roughly 73%.</w:t>
      </w:r>
    </w:p>
    <w:p>
      <w:pPr>
        <w:pStyle w:val="Compact"/>
        <w:numPr>
          <w:ilvl w:val="0"/>
          <w:numId w:val="1007"/>
        </w:numPr>
      </w:pPr>
      <w:r>
        <w:t xml:space="preserve">Positive commentary on July, industrial freight, and bid conversion.</w:t>
      </w:r>
    </w:p>
    <w:p>
      <w:pPr>
        <w:pStyle w:val="Compact"/>
        <w:numPr>
          <w:ilvl w:val="0"/>
          <w:numId w:val="1007"/>
        </w:numPr>
      </w:pPr>
      <w:r>
        <w:t xml:space="preserve">Increased confidence that year-over-year volume turns positive in 2H26.</w:t>
      </w:r>
    </w:p>
    <w:bookmarkEnd w:id="21"/>
    <w:bookmarkStart w:id="22" w:name="what-would-disappoint"/>
    <w:p>
      <w:pPr>
        <w:pStyle w:val="Heading3"/>
      </w:pPr>
      <w:r>
        <w:t xml:space="preserve">What would disappoint</w:t>
      </w:r>
    </w:p>
    <w:p>
      <w:pPr>
        <w:pStyle w:val="Compact"/>
        <w:numPr>
          <w:ilvl w:val="0"/>
          <w:numId w:val="1008"/>
        </w:numPr>
      </w:pPr>
      <w:r>
        <w:t xml:space="preserve">A renewed deterioration in June volumes.</w:t>
      </w:r>
    </w:p>
    <w:p>
      <w:pPr>
        <w:pStyle w:val="Compact"/>
        <w:numPr>
          <w:ilvl w:val="0"/>
          <w:numId w:val="1008"/>
        </w:numPr>
      </w:pPr>
      <w:r>
        <w:t xml:space="preserve">OR materially above the guided seasonal range.</w:t>
      </w:r>
    </w:p>
    <w:p>
      <w:pPr>
        <w:pStyle w:val="Compact"/>
        <w:numPr>
          <w:ilvl w:val="0"/>
          <w:numId w:val="1008"/>
        </w:numPr>
      </w:pPr>
      <w:r>
        <w:t xml:space="preserve">Yield moderation without a corresponding volume inflection.</w:t>
      </w:r>
    </w:p>
    <w:p>
      <w:pPr>
        <w:pStyle w:val="Compact"/>
        <w:numPr>
          <w:ilvl w:val="0"/>
          <w:numId w:val="1008"/>
        </w:numPr>
      </w:pPr>
      <w:r>
        <w:t xml:space="preserve">Cautious commentary on July, industrial customers, or competitive pricing.</w:t>
      </w:r>
    </w:p>
    <w:p>
      <w:pPr>
        <w:pStyle w:val="FirstParagraph"/>
      </w:pPr>
      <w:r>
        <w:rPr>
          <w:b/>
          <w:bCs/>
        </w:rPr>
        <w:t xml:space="preserve">Core conclusion:</w:t>
      </w:r>
      <w:r>
        <w:t xml:space="preserve"> </w:t>
      </w:r>
      <w:r>
        <w:t xml:space="preserve">ODFL is positioned for powerful earnings leverage when volume returns. This report must show that the recovery is progressing from a</w:t>
      </w:r>
      <w:r>
        <w:t xml:space="preserve"> </w:t>
      </w:r>
      <w:r>
        <w:rPr>
          <w:b/>
          <w:bCs/>
        </w:rPr>
        <w:t xml:space="preserve">pricing-led improvement</w:t>
      </w:r>
      <w:r>
        <w:t xml:space="preserve"> </w:t>
      </w:r>
      <w:r>
        <w:t xml:space="preserve">toward a</w:t>
      </w:r>
      <w:r>
        <w:t xml:space="preserve"> </w:t>
      </w:r>
      <w:r>
        <w:rPr>
          <w:b/>
          <w:bCs/>
        </w:rPr>
        <w:t xml:space="preserve">density-led growth cycle</w:t>
      </w:r>
      <w:r>
        <w:t xml:space="preserve">.</w:t>
      </w:r>
    </w:p>
    <w:bookmarkEnd w:id="22"/>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2026-07-29T00:58:14Z</dcterms:created>
  <dcterms:modified xsi:type="dcterms:W3CDTF">2026-07-29T00:58:14Z</dcterms:modified>
</cp:coreProperties>
</file>

<file path=docProps/custom.xml><?xml version="1.0" encoding="utf-8"?>
<Properties xmlns="http://schemas.openxmlformats.org/officeDocument/2006/custom-properties" xmlns:vt="http://schemas.openxmlformats.org/officeDocument/2006/docPropsVTypes"/>
</file>