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Old Dominion Freight Line (ODFL) — Q2 2026 Earnings Preview</w:t>
      </w:r>
    </w:p>
    <w:p>
      <w:r>
        <w:rPr>
          <w:rFonts w:ascii="Calibri" w:hAnsi="Calibri"/>
          <w:b/>
          <w:color w:val="525866"/>
          <w:sz w:val="22"/>
        </w:rPr>
        <w:t xml:space="preserve">Ticker: </w:t>
      </w:r>
      <w:r>
        <w:rPr>
          <w:rFonts w:ascii="Calibri" w:hAnsi="Calibri"/>
          <w:color w:val="525866"/>
          <w:sz w:val="22"/>
        </w:rPr>
        <w:t xml:space="preserve">ODFL  </w:t>
      </w:r>
      <w:r>
        <w:rPr>
          <w:rFonts w:ascii="Calibri" w:hAnsi="Calibri"/>
          <w:b/>
          <w:color w:val="525866"/>
          <w:sz w:val="22"/>
        </w:rPr>
        <w:t xml:space="preserve">| Earnings Date: </w:t>
      </w:r>
      <w:r>
        <w:rPr>
          <w:rFonts w:ascii="Calibri" w:hAnsi="Calibri"/>
          <w:color w:val="525866"/>
          <w:sz w:val="22"/>
        </w:rPr>
        <w:t xml:space="preserve">July 29, 2026 (Before Market Open)  </w:t>
      </w:r>
      <w:r>
        <w:rPr>
          <w:rFonts w:ascii="Calibri" w:hAnsi="Calibri"/>
          <w:b/>
          <w:color w:val="525866"/>
          <w:sz w:val="22"/>
        </w:rPr>
        <w:t xml:space="preserve">| Reporting Period: </w:t>
      </w:r>
      <w:r>
        <w:rPr>
          <w:rFonts w:ascii="Calibri" w:hAnsi="Calibri"/>
          <w:color w:val="525866"/>
          <w:sz w:val="22"/>
        </w:rPr>
        <w:t xml:space="preserve">Q2 2026  </w:t>
      </w:r>
      <w:r>
        <w:rPr>
          <w:rFonts w:ascii="Calibri" w:hAnsi="Calibri"/>
          <w:b/>
          <w:color w:val="525866"/>
          <w:sz w:val="22"/>
        </w:rPr>
        <w:t xml:space="preserve">| Prepared: </w:t>
      </w:r>
      <w:r>
        <w:rPr>
          <w:rFonts w:ascii="Calibri" w:hAnsi="Calibri"/>
          <w:color w:val="525866"/>
          <w:sz w:val="22"/>
        </w:rPr>
        <w:t>July 29, 2026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setup is constructive but not a slam dunk — consensus has moved up ~7% since last earnings on the back of strong May metrics and truckload-to-LTL spillover, and the bar is now a meaningful beat on OR improvement; the wildcard is whether </w:t>
      </w:r>
      <w:r>
        <w:rPr>
          <w:rFonts w:ascii="Calibri" w:hAnsi="Calibri"/>
          <w:b/>
          <w:color w:val="525866"/>
          <w:sz w:val="22"/>
        </w:rPr>
        <w:t>June tonnage inflected enough to drive operating leverage above the guided 300–350bps sequential improvement.</w:t>
      </w:r>
    </w:p>
    <w:p>
      <w:r>
        <w:rPr>
          <w:rFonts w:ascii="Calibri" w:hAnsi="Calibri"/>
          <w:color w:val="525866"/>
          <w:sz w:val="22"/>
        </w:rPr>
        <w:t xml:space="preserve">ODFL heads into Q2 2026 earnings with a more constructive setup than Q1, supported by a confirmed May metrics update showing </w:t>
      </w:r>
      <w:r>
        <w:rPr>
          <w:rFonts w:ascii="Calibri" w:hAnsi="Calibri"/>
          <w:b/>
          <w:color w:val="525866"/>
          <w:sz w:val="22"/>
        </w:rPr>
        <w:t>+12.3% revenue per day YoY</w:t>
      </w:r>
      <w:r>
        <w:rPr>
          <w:rFonts w:ascii="Calibri" w:hAnsi="Calibri"/>
          <w:color w:val="525866"/>
          <w:sz w:val="22"/>
        </w:rPr>
        <w:t xml:space="preserve"> and improving tonnage trends (tons/day down only 3.8% in May vs. -6.1% in April), alongside a broader truckload market that has tightened sharply — creating meaningful </w:t>
      </w:r>
      <w:r>
        <w:rPr>
          <w:rFonts w:ascii="Calibri" w:hAnsi="Calibri"/>
          <w:b/>
          <w:color w:val="525866"/>
          <w:sz w:val="22"/>
        </w:rPr>
        <w:t>LTL spillover tailwinds</w:t>
      </w:r>
      <w:r>
        <w:rPr>
          <w:rFonts w:ascii="Calibri" w:hAnsi="Calibri"/>
          <w:color w:val="525866"/>
          <w:sz w:val="22"/>
        </w:rPr>
        <w:t xml:space="preserve">. Management guided to 300–350bps of sequential OR improvement from Q1's 76.2% (implying a Q2 OR of roughly 72.9–73.0%), which would mark the fourth consecutive quarter of meeting or beating normal seasonal improvement. Consensus has revised up ~7% on EPS since last earnings (from $1.45 to $1.55), suggesting the street has already partially priced in the improving backdrop, raising the bar for a positive reaction. The stock is up ~8% since Q1 earnings vs. IYT transport ETF up ~9%, meaning ODFL has roughly kept pace with the sector but has not materially outperformed — the stock is not pricing in a blowout. The key wildcard is </w:t>
      </w:r>
      <w:r>
        <w:rPr>
          <w:rFonts w:ascii="Calibri" w:hAnsi="Calibri"/>
          <w:b/>
          <w:color w:val="525866"/>
          <w:sz w:val="22"/>
        </w:rPr>
        <w:t>June tonnage</w:t>
      </w:r>
      <w:r>
        <w:rPr>
          <w:rFonts w:ascii="Calibri" w:hAnsi="Calibri"/>
          <w:color w:val="525866"/>
          <w:sz w:val="22"/>
        </w:rPr>
        <w:t>: management flagged April as "a little softer" (tons/day -6.5% YoY) but expected sequential improvement through May and June; if June showed a meaningful inflection (e.g., tonnage turning flat or positive YoY), that would be the catalyst for a positive surprise on OR and EPS.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Bar: </w:t>
      </w:r>
      <w:r>
        <w:rPr>
          <w:rFonts w:ascii="Calibri" w:hAnsi="Calibri"/>
          <w:color w:val="525866"/>
          <w:sz w:val="22"/>
        </w:rPr>
        <w:t>Consensus EPS of ~$1.55 is up ~7% from the post-Q1 baseline of $1.45, representing a high but not extreme bar; the OR guidance midpoint of ~72.9% is the key metric to watch.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Guidance/Tone: </w:t>
      </w:r>
      <w:r>
        <w:rPr>
          <w:rFonts w:ascii="Calibri" w:hAnsi="Calibri"/>
          <w:color w:val="525866"/>
          <w:sz w:val="22"/>
        </w:rPr>
        <w:t>Management was cautiously optimistic at Q1 earnings — guided to normal seasonal OR improvement (300–350bps) while flagging fuel headwinds and geopolitical uncertainty; tone has not materially shifted since.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Estimate Trajectory: </w:t>
      </w:r>
      <w:r>
        <w:rPr>
          <w:rFonts w:ascii="Calibri" w:hAnsi="Calibri"/>
          <w:color w:val="525866"/>
          <w:sz w:val="22"/>
        </w:rPr>
        <w:t>Estimates have moved up ~7% on EPS since Q1 earnings, tracking above the initial guidance midpoint, suggesting the street is pricing in some outperformance.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Stock Setup: </w:t>
      </w:r>
      <w:r>
        <w:rPr>
          <w:rFonts w:ascii="Calibri" w:hAnsi="Calibri"/>
          <w:color w:val="525866"/>
          <w:sz w:val="22"/>
        </w:rPr>
        <w:t>ODFL is up ~8% since Q1 earnings, roughly in line with the transport sector (IYT +9%), suggesting the stock has not materially re-rated and is not pricing in a blowout.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Wildcard: </w:t>
      </w:r>
      <w:r>
        <w:rPr>
          <w:rFonts w:ascii="Calibri" w:hAnsi="Calibri"/>
          <w:color w:val="525866"/>
          <w:sz w:val="22"/>
        </w:rPr>
        <w:t>June tonnage inflection — if tons/day turned flat or positive YoY in June (vs. -6.5% in April and -3.8% in May), that would drive OR outperformance above the guided range and be the key positive surprise.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expects a strong sequential OR improvement to ~72.4% (vs. 76.2% in Q1 2026), with revenue up ~9% YoY; the bigger swing factor is whether </w:t>
      </w:r>
      <w:r>
        <w:rPr>
          <w:rFonts w:ascii="Calibri" w:hAnsi="Calibri"/>
          <w:b/>
          <w:color w:val="525866"/>
          <w:sz w:val="22"/>
        </w:rPr>
        <w:t>tonnage inflects enough to drive operating leverage above the guided range.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(Q2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$1,334.7M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$1,407.7M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$1,543.8M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+9.7%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LTL Tons per Day (KTons)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30,584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33,178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31,821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-4.1%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LTL Shipments per Day (K#)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41,037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44,907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42,513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-5.3%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LTL Weight per Shipment (lbs)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1,491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1,478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1,499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LTL Rev/CWT ex-Fuel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$29.13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$28.17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$29.67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4.0–4.5% YoY yield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above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Operating Ratio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76.2%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74.6%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72.4%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-220bps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300–350bps seq. improvement from Q1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~72.9–73.0% implied; consensus slightly better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EPS — Diluted Operating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$1.14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$1.27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$1.55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+22.0%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LTL Rev per Shipment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$514.56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$485.31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$560.70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+15.5%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Visible Alpha Consensus and Actuals Data. All consensus figures as of July 29,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KPIs: Operating Ratio &amp; EPS-Diluted Operating)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OR Reported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OR Consensus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OR Surprise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OR Result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EPS Reported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EPS Consensus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EPS Surprise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EPS Result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71.9%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72.0%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+10bps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$1.48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$1.46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+1.4%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72.7%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72.5%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-20bps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$1.43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$1.42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75.9%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76.0%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+10bps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$1.23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$1.16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+6.0%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75.4%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76.3%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+90bps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$1.19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$1.14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+4.4%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74.6%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74.4%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-20bps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$1.27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$1.29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-1.6%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74.3%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75.7%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+140bps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$1.28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$1.22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+4.9%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76.7%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77.2%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+50bps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$1.09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$1.06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+2.8%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76.2%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77.8%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+160bps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$1.14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$1.05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+8.6%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color w:val="525866"/>
          <w:sz w:val="22"/>
        </w:rPr>
        <w:t>ODFL has beaten on EPS in 7 of the last 8 quarters, with the largest beat in Q1 2026 (+8.6%); OR beats have been consistent, with the notable exception of Q2 2025. 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Management's Q2 OR guidance of 300–350bps sequential improvement from Q1 is </w:t>
      </w:r>
      <w:r>
        <w:rPr>
          <w:rFonts w:ascii="Calibri" w:hAnsi="Calibri"/>
          <w:b/>
          <w:color w:val="525866"/>
          <w:sz w:val="22"/>
        </w:rPr>
        <w:t>unchanged since last earnings</w:t>
      </w:r>
      <w:r>
        <w:rPr>
          <w:rFonts w:ascii="Calibri" w:hAnsi="Calibri"/>
          <w:color w:val="525866"/>
          <w:sz w:val="22"/>
        </w:rPr>
        <w:t>; no post-earnings guidance revision has been issued, but the May metrics update confirmed the trajectory is on track.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Earnings, Apr 29)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Operating Ratio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300–350bps sequential improvement from Q1 (implies ~72.9–73.0%)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72.4%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slightly better than guidance midpoint; May metrics update confirmed improving trajectory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Yield (Rev/CWT ex-fuel)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4.0–4.5% YoY increase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+5.3% YoY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tracking above guidance range; fuel tailwind from higher diesel prices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LTL Tons/Day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Sequential improvement expected from Q1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31,821 KTons (-4.1% YoY)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May update showed -3.8% YoY; June expected to improve further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explicit FY guidance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$5,899M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EPS (Diluted Operating)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explicit FY guidance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$5.66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EPS estimates for Q2 2026 have risen </w:t>
      </w:r>
      <w:r>
        <w:rPr>
          <w:rFonts w:ascii="Calibri" w:hAnsi="Calibri"/>
          <w:b/>
          <w:color w:val="525866"/>
          <w:sz w:val="22"/>
        </w:rPr>
        <w:t>~7% since Q1 earnings</w:t>
      </w:r>
      <w:r>
        <w:rPr>
          <w:rFonts w:ascii="Calibri" w:hAnsi="Calibri"/>
          <w:color w:val="525866"/>
          <w:sz w:val="22"/>
        </w:rPr>
        <w:t xml:space="preserve"> (from $1.45 to $1.55), tracking above the guidance midpoint; FY 2026 EPS has also been revised up ~5%, suggesting the street is pricing in a recovery trajectory that is ahead of management's conservative framing.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Period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(May 4, 2026 — 5 Days Post Q1 Earnings)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9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EPS — Diluted Operating ($)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Q2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$1.45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$1.55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+6.9%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EPS — Diluted Operating ($)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FY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$5.39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$5.66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+5.0%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Operating Ratio (%)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Q2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72.9%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72.4%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-50bps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~72.9–73.0% (300–350bps seq. improvement)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Consensus 50bps better than guidance midpoint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Operating Ratio (%)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FY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74.2%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73.7%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-50bps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Total Revenue ($M)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Q2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$1,489M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$1,544M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+3.7%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Total Revenue ($M)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FY 2026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$5,765M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$5,899M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+2.3%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96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color w:val="525866"/>
          <w:sz w:val="22"/>
        </w:rPr>
        <w:t>All data from Visible Alpha Consensus and Actuals Data. Estimate baseline as of May 4, 2026 (5 trading days post Q1 2026 earnings on April 29,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ODFL is up ~8.1% since Q1 earnings (April 29), roughly in line with the IYT transport ETF (+8.7%) and ahead of the S&amp;P 500 (+4.1%); the move has been driven by </w:t>
      </w:r>
      <w:r>
        <w:rPr>
          <w:rFonts w:ascii="Calibri" w:hAnsi="Calibri"/>
          <w:b/>
          <w:color w:val="525866"/>
          <w:sz w:val="22"/>
        </w:rPr>
        <w:t>improving freight market sentiment and the May metrics update</w:t>
      </w:r>
      <w:r>
        <w:rPr>
          <w:rFonts w:ascii="Calibri" w:hAnsi="Calibri"/>
          <w:color w:val="525866"/>
          <w:sz w:val="22"/>
        </w:rPr>
        <w:t>, not multiple expansion — suggesting the stock is not pricing in a blowout.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ODFL vs. IYT (Transport ETF) vs. S&amp;P 500 — Indexed to 100 at April 29, 2026 (Last Earnings Date). Source: Stock Price Data.</w:t>
      </w:r>
    </w:p>
    <w:p>
      <w:r>
        <w:rPr>
          <w:rFonts w:ascii="Calibri" w:hAnsi="Calibri"/>
          <w:color w:val="525866"/>
          <w:sz w:val="22"/>
        </w:rPr>
        <w:t xml:space="preserve">ODFL rallied sharply from its post-earnings lows (stock initially fell on Q1 results despite the beat, touching ~$192 on May 4) before recovering strongly through late May and early June, peaking near </w:t>
      </w:r>
      <w:r>
        <w:rPr>
          <w:rFonts w:ascii="Calibri" w:hAnsi="Calibri"/>
          <w:b/>
          <w:color w:val="525866"/>
          <w:sz w:val="22"/>
        </w:rPr>
        <w:t>$248 on June 9</w:t>
      </w:r>
      <w:r>
        <w:rPr>
          <w:rFonts w:ascii="Calibri" w:hAnsi="Calibri"/>
          <w:color w:val="525866"/>
          <w:sz w:val="22"/>
        </w:rPr>
        <w:t xml:space="preserve"> as the May metrics update (+12.3% revenue/day) and broader truckload market tightening drove sentiment. The stock then pulled back ~9% from peak through mid-June (</w:t>
      </w:r>
      <w:r>
        <w:rPr>
          <w:rFonts w:ascii="Calibri" w:hAnsi="Calibri"/>
          <w:b/>
          <w:color w:val="525866"/>
          <w:sz w:val="22"/>
        </w:rPr>
        <w:t>Citi downgraded to Sell on June 15</w:t>
      </w:r>
      <w:r>
        <w:rPr>
          <w:rFonts w:ascii="Calibri" w:hAnsi="Calibri"/>
          <w:color w:val="525866"/>
          <w:sz w:val="22"/>
        </w:rPr>
        <w:t xml:space="preserve">), before recovering to the $226–233 range in July after </w:t>
      </w:r>
      <w:r>
        <w:rPr>
          <w:rFonts w:ascii="Calibri" w:hAnsi="Calibri"/>
          <w:b/>
          <w:color w:val="525866"/>
          <w:sz w:val="22"/>
        </w:rPr>
        <w:t>Citi upgraded back to Neutral on July 9</w:t>
      </w:r>
      <w:r>
        <w:rPr>
          <w:rFonts w:ascii="Calibri" w:hAnsi="Calibri"/>
          <w:color w:val="525866"/>
          <w:sz w:val="22"/>
        </w:rPr>
        <w:t xml:space="preserve">. The stock is currently trading at ~$226, roughly flat with where it was in late June, suggesting the market is in a "wait and see" mode ahead of the Q2 print. The transport ETF (IYT) has been a stronger performer in July, driven by truckload names (KNX, WERN) reporting strong Q2 results. Sector ETF used: </w:t>
      </w:r>
      <w:r>
        <w:rPr>
          <w:rFonts w:ascii="Calibri" w:hAnsi="Calibri"/>
          <w:b/>
          <w:color w:val="525866"/>
          <w:sz w:val="22"/>
        </w:rPr>
        <w:t>IYT (iShares Transportation Average ETF)</w:t>
      </w:r>
      <w:r>
        <w:rPr>
          <w:rFonts w:ascii="Calibri" w:hAnsi="Calibri"/>
          <w:color w:val="525866"/>
          <w:sz w:val="22"/>
        </w:rPr>
        <w:t xml:space="preserve"> — appropriate for ODFL's LTL trucking sub-sector.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Commentaries — Q2 2026 Read-Throughs (Last 60 Days)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commentary from Q2 2026 reporters (KNX, WERN) and Q1 2026 reporters with Q2 guidance (XPO, SAIA, ARCB, RXO) is broadly constructive for ODFL — </w:t>
      </w:r>
      <w:r>
        <w:rPr>
          <w:rFonts w:ascii="Calibri" w:hAnsi="Calibri"/>
          <w:b/>
          <w:color w:val="525866"/>
          <w:sz w:val="22"/>
        </w:rPr>
        <w:t>truckload tightening is driving LTL spillover, pricing is accelerating, and the industrial recovery is gaining traction</w:t>
      </w:r>
      <w:r>
        <w:rPr>
          <w:rFonts w:ascii="Calibri" w:hAnsi="Calibri"/>
          <w:color w:val="525866"/>
          <w:sz w:val="22"/>
        </w:rPr>
        <w:t>; the key risk is that volume improvement has been gradual rather than sharp.</w:t>
      </w:r>
    </w:p>
    <w:p>
      <w:r>
        <w:rPr>
          <w:rFonts w:ascii="Calibri" w:hAnsi="Calibri"/>
          <w:b/>
          <w:i/>
          <w:color w:val="525866"/>
          <w:sz w:val="22"/>
        </w:rPr>
        <w:t xml:space="preserve">Note: </w:t>
      </w:r>
      <w:r>
        <w:rPr>
          <w:rFonts w:ascii="Calibri" w:hAnsi="Calibri"/>
          <w:i/>
          <w:color w:val="525866"/>
          <w:sz w:val="22"/>
        </w:rPr>
        <w:t>Peer commentary filtered to Q2 2026 forward-looking statements and current-quarter color only. Q1 2026 backward-looking results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A. KNX (Knight-Swift) — Q2 2026 Earnings (July 22, 2026)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LTL volumes: </w:t>
      </w:r>
      <w:r>
        <w:rPr>
          <w:rFonts w:ascii="Calibri" w:hAnsi="Calibri"/>
          <w:color w:val="525866"/>
          <w:sz w:val="22"/>
        </w:rPr>
        <w:t>Revenue ex-fuel declined 1.4% YoY in Q2, driven by a 3.7% decrease in shipments per day — but shipments improved sequentially each month (April -6.5% YoY, May -3.2%, June -1.3%), showing clear momentum. Daily tonnage grew 4% YoY, weight per shipment +7.9%, length of haul +5.3% — all pointing to heavier, longer freight returning to LTL.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Pricing: </w:t>
      </w:r>
      <w:r>
        <w:rPr>
          <w:rFonts w:ascii="Calibri" w:hAnsi="Calibri"/>
          <w:color w:val="525866"/>
          <w:sz w:val="22"/>
        </w:rPr>
        <w:t>Rate renewals steady at mid-single digit pace; revenue per shipment ex-fuel +3.4% YoY despite weight mix headwinds.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OR: </w:t>
      </w:r>
      <w:r>
        <w:rPr>
          <w:rFonts w:ascii="Calibri" w:hAnsi="Calibri"/>
          <w:color w:val="525866"/>
          <w:sz w:val="22"/>
        </w:rPr>
        <w:t>LTL adjusted OR improved 100bps YoY to 92.1%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Q3 outlook: </w:t>
      </w:r>
      <w:r>
        <w:rPr>
          <w:rFonts w:ascii="Calibri" w:hAnsi="Calibri"/>
          <w:color w:val="525866"/>
          <w:sz w:val="22"/>
        </w:rPr>
        <w:t>Expects to build on Q2 volumes into Q3; fuel will be a QoQ headwind but expects to offset with efficiency gains and volume recovery.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Positive — the sequential improvement in shipments per day (from -6.5% in April to -1.3% in June) is a </w:t>
      </w:r>
      <w:r>
        <w:rPr>
          <w:rFonts w:ascii="Calibri" w:hAnsi="Calibri"/>
          <w:b/>
          <w:color w:val="525866"/>
          <w:sz w:val="22"/>
        </w:rPr>
        <w:t>direct read-through for ODFL's June tonnage trajectory</w:t>
      </w:r>
      <w:r>
        <w:rPr>
          <w:rFonts w:ascii="Calibri" w:hAnsi="Calibri"/>
          <w:color w:val="525866"/>
          <w:sz w:val="22"/>
        </w:rPr>
        <w:t>. The weight per shipment growth (+7.9%) confirms the truckload-to-LTL spillover thesis that ODFL management highlighted at Q1 earnings.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B. WERN (Werner Enterprises) — Q2 2026 Earnings (July 28, 2026)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Truckload market: </w:t>
      </w:r>
      <w:r>
        <w:rPr>
          <w:rFonts w:ascii="Calibri" w:hAnsi="Calibri"/>
          <w:color w:val="525866"/>
          <w:sz w:val="22"/>
        </w:rPr>
        <w:t>Spot rates trending well ahead of normal seasonality; tender rejection rates at highest levels since 2021; contract rates accelerating with double-digit gains in Q3 bids.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LTL read-through: </w:t>
      </w:r>
      <w:r>
        <w:rPr>
          <w:rFonts w:ascii="Calibri" w:hAnsi="Calibri"/>
          <w:color w:val="525866"/>
          <w:sz w:val="22"/>
        </w:rPr>
        <w:t>Truckload tightening is structural (regulatory enforcement on CDLs, Montgomery ruling, driver market constraints) — this is the supply-side driver of LTL spillover. WERN noted customers are pivoting toward asset-heavy solutions and away from brokers.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Demand: </w:t>
      </w:r>
      <w:r>
        <w:rPr>
          <w:rFonts w:ascii="Calibri" w:hAnsi="Calibri"/>
          <w:color w:val="525866"/>
          <w:sz w:val="22"/>
        </w:rPr>
        <w:t>Customer outlooks are solid near-term; lean retail inventories expected to drive replenishment; strong peak season anticipated in Q4.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Highly positive — the </w:t>
      </w:r>
      <w:r>
        <w:rPr>
          <w:rFonts w:ascii="Calibri" w:hAnsi="Calibri"/>
          <w:b/>
          <w:color w:val="525866"/>
          <w:sz w:val="22"/>
        </w:rPr>
        <w:t>structural truckload tightening WERN describes (regulatory enforcement, driver shortages, Montgomery ruling)</w:t>
      </w:r>
      <w:r>
        <w:rPr>
          <w:rFonts w:ascii="Calibri" w:hAnsi="Calibri"/>
          <w:color w:val="525866"/>
          <w:sz w:val="22"/>
        </w:rPr>
        <w:t xml:space="preserve"> is the same dynamic ODFL management cited as driving truckload-to-LTL spillover. If truckload rates continue to accelerate into Q3, LTL spillover should persist and potentially accelerate.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C. XPO — Q1 2026 Earnings (April 30, 2026) — Q2 2026 Forward Guidance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tonnage guidance: </w:t>
      </w:r>
      <w:r>
        <w:rPr>
          <w:rFonts w:ascii="Calibri" w:hAnsi="Calibri"/>
          <w:color w:val="525866"/>
          <w:sz w:val="22"/>
        </w:rPr>
        <w:t>Expects tonnage to improve each month of Q2, with full-quarter tonnage "flattish YoY" — upside if demand environment continues to improve.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Pricing: </w:t>
      </w:r>
      <w:r>
        <w:rPr>
          <w:rFonts w:ascii="Calibri" w:hAnsi="Calibri"/>
          <w:color w:val="525866"/>
          <w:sz w:val="22"/>
        </w:rPr>
        <w:t>Yield expected to be "comfortably in the mid-single-digit range" in Q2; expects to "comfortably outperform the high end" of normal seasonal OR improvement (250–300bps) in Q2; CEO noted "even a path to an OR with a 7 handle"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Customer sentiment: </w:t>
      </w:r>
      <w:r>
        <w:rPr>
          <w:rFonts w:ascii="Calibri" w:hAnsi="Calibri"/>
          <w:color w:val="525866"/>
          <w:sz w:val="22"/>
        </w:rPr>
        <w:t>Survey of top customers showed double the number expecting acceleration in H2 vs. H1 — highest optimism since 2021.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Truckload-to-LTL conversion: </w:t>
      </w:r>
      <w:r>
        <w:rPr>
          <w:rFonts w:ascii="Calibri" w:hAnsi="Calibri"/>
          <w:color w:val="525866"/>
          <w:sz w:val="22"/>
        </w:rPr>
        <w:t>Estimates 2–3 points of LTL industry tonnage shifted to truckload during the freight recession; as truckload rates rise, expects this to convert back to LTL.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Positive — XPO's Q2 OR guidance (outperforming the high end of 250–300bps seasonal improvement) and customer sentiment data are consistent with ODFL's own guidance. The </w:t>
      </w:r>
      <w:r>
        <w:rPr>
          <w:rFonts w:ascii="Calibri" w:hAnsi="Calibri"/>
          <w:b/>
          <w:color w:val="525866"/>
          <w:sz w:val="22"/>
        </w:rPr>
        <w:t>truckload-to-LTL conversion thesis is directly applicable to ODFL</w:t>
      </w:r>
      <w:r>
        <w:rPr>
          <w:rFonts w:ascii="Calibri" w:hAnsi="Calibri"/>
          <w:color w:val="525866"/>
          <w:sz w:val="22"/>
        </w:rPr>
        <w:t>, which has excess capacity to absorb returning freight.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D. SAIA — Q1 2026 Earnings (April 30, 2026) — Q2 2026 Forward Guidance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OR guidance: </w:t>
      </w:r>
      <w:r>
        <w:rPr>
          <w:rFonts w:ascii="Calibri" w:hAnsi="Calibri"/>
          <w:color w:val="525866"/>
          <w:sz w:val="22"/>
        </w:rPr>
        <w:t>Projects 400–450bps sequential improvement in Q2 (vs. historical 250–300bps), driven by momentum in commercial pipeline, pricing, and fuel. April shipments tracking +5.5% YoY, tonnage +6.5% YoY — a strong start to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Pricing: </w:t>
      </w:r>
      <w:r>
        <w:rPr>
          <w:rFonts w:ascii="Calibri" w:hAnsi="Calibri"/>
          <w:color w:val="525866"/>
          <w:sz w:val="22"/>
        </w:rPr>
        <w:t>Contract renewals at 6.7% in Q1 (strongest since Q3 2022), with March north of 7%; expects pricing discipline to persist.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Demand: </w:t>
      </w:r>
      <w:r>
        <w:rPr>
          <w:rFonts w:ascii="Calibri" w:hAnsi="Calibri"/>
          <w:color w:val="525866"/>
          <w:sz w:val="22"/>
        </w:rPr>
        <w:t>Legacy facilities showing shipment growth for first time in ~5 quarters; customer sentiment increasingly positive with expectations for better H2.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Positive — SAIA's April volume data (+5.5% shipments, +6.5% tonnage YoY) is a strong leading indicator for the broader LTL market. However, SAIA is a share gainer (national network expansion) so its volume growth likely overstates the market; </w:t>
      </w:r>
      <w:r>
        <w:rPr>
          <w:rFonts w:ascii="Calibri" w:hAnsi="Calibri"/>
          <w:b/>
          <w:color w:val="525866"/>
          <w:sz w:val="22"/>
        </w:rPr>
        <w:t>ODFL's volume trends will be more muted but the directional signal is constructive.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E. ARCB (ArcBest) — Q1 2026 Earnings (April 28, 2026) — Q2 2026 Forward Guidance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Q2 OR guidance: </w:t>
      </w:r>
      <w:r>
        <w:rPr>
          <w:rFonts w:ascii="Calibri" w:hAnsi="Calibri"/>
          <w:color w:val="525866"/>
          <w:sz w:val="22"/>
        </w:rPr>
        <w:t>Expects 400–500bps sequential improvement in Q2 (vs. historical 350bps), driven by strength across revenue, shipments, tonnage, weight per shipment, and pricing.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trends: </w:t>
      </w:r>
      <w:r>
        <w:rPr>
          <w:rFonts w:ascii="Calibri" w:hAnsi="Calibri"/>
          <w:color w:val="525866"/>
          <w:sz w:val="22"/>
        </w:rPr>
        <w:t>Shipments/day -1% YoY, weight per shipment +6%, daily tonnage +5%; revenue per shipment +10% YoY (including fuel).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Pricing: </w:t>
      </w:r>
      <w:r>
        <w:rPr>
          <w:rFonts w:ascii="Calibri" w:hAnsi="Calibri"/>
          <w:color w:val="525866"/>
          <w:sz w:val="22"/>
        </w:rPr>
        <w:t>Deferred price increases averaged 6% in Q1 (strongest since Q3 2022); core LTL pricing improving in a rational market.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Manufacturing PMI: </w:t>
      </w:r>
      <w:r>
        <w:rPr>
          <w:rFonts w:ascii="Calibri" w:hAnsi="Calibri"/>
          <w:color w:val="525866"/>
          <w:sz w:val="22"/>
        </w:rPr>
        <w:t>Moved into expansion for 3 consecutive months — key directional indicator for freight demand.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Positive — ARCB's April tonnage growth (+5% YoY) and strong pricing (+6% deferred increases) are consistent with the improving LTL backdrop. The </w:t>
      </w:r>
      <w:r>
        <w:rPr>
          <w:rFonts w:ascii="Calibri" w:hAnsi="Calibri"/>
          <w:b/>
          <w:color w:val="525866"/>
          <w:sz w:val="22"/>
        </w:rPr>
        <w:t>manufacturing PMI expansion is a leading indicator for ODFL's industrial freight recovery</w:t>
      </w:r>
      <w:r>
        <w:rPr>
          <w:rFonts w:ascii="Calibri" w:hAnsi="Calibri"/>
          <w:color w:val="525866"/>
          <w:sz w:val="22"/>
        </w:rPr>
        <w:t>, which management noted was lagging retail.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F. RXO — Q1 2026 Earnings (May 7, 2026) — Q2 2026 Forward Guidance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LTL volume: </w:t>
      </w:r>
      <w:r>
        <w:rPr>
          <w:rFonts w:ascii="Calibri" w:hAnsi="Calibri"/>
          <w:color w:val="525866"/>
          <w:sz w:val="22"/>
        </w:rPr>
        <w:t>Q1 LTL volume +5% YoY; expects LTL volume approximately flat YoY in Q2 (due to business transitioning to Managed Transportation); expects LTL to return to YoY growth in H2.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Pricing: </w:t>
      </w:r>
      <w:r>
        <w:rPr>
          <w:rFonts w:ascii="Calibri" w:hAnsi="Calibri"/>
          <w:color w:val="525866"/>
          <w:sz w:val="22"/>
        </w:rPr>
        <w:t>Contract renewal rates up mid-to-high single digits through bid season; recently awarded contracts up low double digits; full-year 2026 contract rates now expected to increase high single digits (raised from low-to-mid single digits).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Truckload market: </w:t>
      </w:r>
      <w:r>
        <w:rPr>
          <w:rFonts w:ascii="Calibri" w:hAnsi="Calibri"/>
          <w:color w:val="525866"/>
          <w:sz w:val="22"/>
        </w:rPr>
        <w:t>Industry-wide line haul rates up ~20% since Q3 2025; tender rejections at 4-year highs; structural supply-side tightening from regulatory enforcement.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ODFL Read-Through: </w:t>
      </w:r>
      <w:r>
        <w:rPr>
          <w:rFonts w:ascii="Calibri" w:hAnsi="Calibri"/>
          <w:color w:val="525866"/>
          <w:sz w:val="22"/>
        </w:rPr>
        <w:t xml:space="preserve">Positive — RXO's data on </w:t>
      </w:r>
      <w:r>
        <w:rPr>
          <w:rFonts w:ascii="Calibri" w:hAnsi="Calibri"/>
          <w:b/>
          <w:color w:val="525866"/>
          <w:sz w:val="22"/>
        </w:rPr>
        <w:t>industry-wide line haul rate increases (+20% since Q3 2025) and tender rejections at 4-year highs</w:t>
      </w:r>
      <w:r>
        <w:rPr>
          <w:rFonts w:ascii="Calibri" w:hAnsi="Calibri"/>
          <w:color w:val="525866"/>
          <w:sz w:val="22"/>
        </w:rPr>
        <w:t xml:space="preserve"> confirms the truckload tightening that drives LTL spillover. The acceleration in contract pricing (raised to high single digits) is consistent with ODFL's own yield guidance.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</w:t>
      </w:r>
      <w:r>
        <w:rPr>
          <w:rFonts w:ascii="Calibri" w:hAnsi="Calibri"/>
          <w:b/>
          <w:color w:val="525866"/>
          <w:sz w:val="22"/>
        </w:rPr>
        <w:t>May 2026 metrics update</w:t>
      </w:r>
      <w:r>
        <w:rPr>
          <w:rFonts w:ascii="Calibri" w:hAnsi="Calibri"/>
          <w:color w:val="525866"/>
          <w:sz w:val="22"/>
        </w:rPr>
        <w:t xml:space="preserve"> was the most material development since Q1 earnings, confirming the Q2 recovery trajectory; the Citi downgrade/upgrade cycle and dividend declaration were secondary.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3, 2026 — May 2026 Operating Metrics Update: </w:t>
      </w:r>
      <w:r>
        <w:rPr>
          <w:rFonts w:ascii="Calibri" w:hAnsi="Calibri"/>
          <w:color w:val="525866"/>
          <w:sz w:val="22"/>
        </w:rPr>
        <w:t xml:space="preserve">Revenue per day +12.3% YoY (accelerating from +7.6% in April); LTL tons/day -3.8% YoY (improving from -6.1% in April); LTL shipments/day -5.3% YoY; weight per shipment +1.6% YoY. QTD (April+May): Rev/CWT +15.6% YoY, Rev/CWT ex-fuel +5.4% YoY. CEO Marty Freeman: "Demand has continued to improve as the quarter has progressed."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Confirms Q2 OR improvement is on track; June data (not yet disclosed) is the remaining unknown.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23, 2026 — Q2 Dividend Declared: </w:t>
      </w:r>
      <w:r>
        <w:rPr>
          <w:rFonts w:ascii="Calibri" w:hAnsi="Calibri"/>
          <w:color w:val="525866"/>
          <w:sz w:val="22"/>
        </w:rPr>
        <w:t xml:space="preserve">Board declared $0.29/share quarterly dividend, a 3.6% increase from the prior year's Q2 dividend.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Routine capital return; no strategic signal.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9, 2026 — Citigroup Upgrade to Neutral (from Sell): </w:t>
      </w:r>
      <w:r>
        <w:rPr>
          <w:rFonts w:ascii="Calibri" w:hAnsi="Calibri"/>
          <w:color w:val="525866"/>
          <w:sz w:val="22"/>
        </w:rPr>
        <w:t xml:space="preserve">Citi upgraded ODFL from Sell to Neutral.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Removes a notable overhang; Citi had downgraded to Sell on June 15 (likely on valuation after the stock peaked near $248), then reversed course as the stock pulled back ~9%.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15, 2026 — Citigroup Downgrade to Sell (from Neutral): </w:t>
      </w:r>
      <w:r>
        <w:rPr>
          <w:rFonts w:ascii="Calibri" w:hAnsi="Calibri"/>
          <w:color w:val="525866"/>
          <w:sz w:val="22"/>
        </w:rPr>
        <w:t xml:space="preserve">Citi downgraded ODFL to Sell.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Likely valuation-driven after the stock peaked near $248; the downgrade coincided with the stock's peak and subsequent pullback.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Macro — Truckload Market Tightening: </w:t>
      </w:r>
      <w:r>
        <w:rPr>
          <w:rFonts w:ascii="Calibri" w:hAnsi="Calibri"/>
          <w:color w:val="525866"/>
          <w:sz w:val="22"/>
        </w:rPr>
        <w:t xml:space="preserve">Tender rejections at 4-year highs, spot rates well above normal seasonality, regulatory enforcement (CDL crackdowns, Montgomery ruling) driving structural capacity exits. This is the </w:t>
      </w:r>
      <w:r>
        <w:rPr>
          <w:rFonts w:ascii="Calibri" w:hAnsi="Calibri"/>
          <w:b/>
          <w:color w:val="525866"/>
          <w:sz w:val="22"/>
        </w:rPr>
        <w:t>primary driver of LTL spillover</w:t>
      </w:r>
      <w:r>
        <w:rPr>
          <w:rFonts w:ascii="Calibri" w:hAnsi="Calibri"/>
          <w:color w:val="525866"/>
          <w:sz w:val="22"/>
        </w:rPr>
        <w:t xml:space="preserve"> and the most important macro tailwind for ODFL heading into Q2.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No open-market buys or discretionary sells of significance since Q1 earnings; the only transactions are routine director compensation grants and trust transfers by the Congdon family — </w:t>
      </w:r>
      <w:r>
        <w:rPr>
          <w:rFonts w:ascii="Calibri" w:hAnsi="Calibri"/>
          <w:b/>
          <w:color w:val="525866"/>
          <w:sz w:val="22"/>
        </w:rPr>
        <w:t>no meaningful insider signal.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Value / 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Filing 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Greg C. Gantt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~$22,107 (est.)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Small discretionary sale; not 10b5-1; immaterial size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David S. Congdon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Executive Chairman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Gift / Trust Transfer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295,670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28,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Transfer to Audrey Congdon Irrevocable Trust; estate planning, not a market signal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David S. Congdon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Executive Chairman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Gift / Trust Transfer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73,730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20,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Transfer via Congdon Revocable Trust; estate planning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Earl E. Congdon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Chair Emeritus &amp; Sr. Advisor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Gift / Trust Transfer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7,370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Transfer via Earl E. Congdon Trust; estate planning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Multiple Directors (9)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Compensation Grant (Code 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859 shares each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20,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compensation; not a market signal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 only open-market transaction is Gantt's small sale on May 4. All Congdon family transactions are trust transfers (Form 4 code G), not open-market sales — these are estate planning moves, not bearish signals. No open-market buys from any insider since Q1 earnings. Source: Insider Transaction Data (SEC Form 4).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