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ke-earnings-predictions--2026-08-03"/>
    <w:p>
      <w:pPr>
        <w:pStyle w:val="Heading1"/>
      </w:pPr>
      <w:r>
        <w:t xml:space="preserve">OKE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~$2.10B vs. cons $2.05B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~$1.47 vs. cons $1.46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~$9.15B vs. cons $9.40B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~$8.25B midpoint vs. cons $8.34B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~$5.53 midpoint vs. cons $5.70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~$2.95B midpoint vs. cons $2.95B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2.10</m:t>
              </m:r>
              <m:r>
                <m:t>B</m:t>
              </m:r>
              <m:r>
                <m:t>Q</m:t>
              </m:r>
              <m:r>
                <m:t>2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2.05B consensus supports the initial move, but unchanged FY2026 EBITDA guidance of ~</w:t>
            </w:r>
            <m:oMath>
              <m:r>
                <m:t>8.25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8.34B consensus implies softer second-half/out-period estimates, fading the day-1 residual from +1.8% to +0.4%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2026-08-03T00:28:59Z</dcterms:created>
  <dcterms:modified xsi:type="dcterms:W3CDTF">2026-08-03T00:28:59Z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