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693eb6733a0496b378d51ec579d03a0767dc5e"/>
    <w:p>
      <w:pPr>
        <w:pStyle w:val="Heading1"/>
      </w:pPr>
      <w:r>
        <w:t xml:space="preserve">ONEOK (NYSE: OKE) — Second-Quarter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ONEOK is scheduled to</w:t>
      </w:r>
      <w:r>
        <w:t xml:space="preserve"> </w:t>
      </w:r>
      <w:r>
        <w:rPr>
          <w:b/>
          <w:bCs/>
        </w:rPr>
        <w:t xml:space="preserve">release second-quarter results after the market closes today, Monday, August 3, 2026</w:t>
      </w:r>
      <w:r>
        <w:t xml:space="preserve">. The earnings call is</w:t>
      </w:r>
      <w:r>
        <w:t xml:space="preserve"> </w:t>
      </w:r>
      <w:r>
        <w:rPr>
          <w:b/>
          <w:bCs/>
        </w:rPr>
        <w:t xml:space="preserve">tomorrow, August 4, at 11:00 a.m. Eastern</w:t>
      </w:r>
      <w:r>
        <w:t xml:space="preserve">.</w:t>
      </w:r>
    </w:p>
    <w:bookmarkStart w:id="9" w:name="investment-view-going-into-the-report"/>
    <w:p>
      <w:pPr>
        <w:pStyle w:val="Heading2"/>
      </w:pPr>
      <w:r>
        <w:t xml:space="preserve">Investment view going into the report</w:t>
      </w:r>
    </w:p>
    <w:p>
      <w:pPr>
        <w:pStyle w:val="FirstParagraph"/>
      </w:pPr>
      <w:r>
        <w:t xml:space="preserve">ONEOK enters the quarter with solid operating momentum, recently raised guidance and several identifiable volume and project catalysts. The central question is not simply whether second-quarter adjusted EBITDA exceeds last year’s $1.98 billion; it is whether results demonstrate that the company can deliver the</w:t>
      </w:r>
      <w:r>
        <w:t xml:space="preserve"> </w:t>
      </w:r>
      <w:r>
        <w:rPr>
          <w:b/>
          <w:bCs/>
        </w:rPr>
        <w:t xml:space="preserve">back-half acceleration embedded in its</w:t>
      </w:r>
      <w:r>
        <w:rPr>
          <w:b/>
          <w:bCs/>
        </w:rPr>
        <w:t xml:space="preserve"> </w:t>
      </w:r>
      <m:oMath>
        <m:r>
          <m:t>8.0</m:t>
        </m:r>
        <m:r>
          <m:rPr>
            <m:sty m:val="p"/>
          </m:rPr>
          <m:t>−</m:t>
        </m:r>
      </m:oMath>
      <w:r>
        <w:rPr>
          <w:b/>
          <w:bCs/>
        </w:rPr>
        <w:t xml:space="preserve">8.5 billion full-year outlook</w:t>
      </w:r>
      <w:r>
        <w:t xml:space="preserve"> </w:t>
      </w:r>
      <w:r>
        <w:t xml:space="preserve">without relying too heavily on temporary marketing and price-differential benefits.</w:t>
      </w:r>
    </w:p>
    <w:p>
      <w:pPr>
        <w:pStyle w:val="BodyText"/>
      </w:pPr>
      <w:r>
        <w:t xml:space="preserve">The likely debate will center on three issues: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much of first-quarter pipeline outperformance repeats?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Are higher physical volumes offsetting weaker realized commodity prices and lower fee rates?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Can ONEOK fund its elevated capital program while moving leverage lower?</w:t>
      </w:r>
    </w:p>
    <w:p>
      <w:pPr>
        <w:pStyle w:val="FirstParagraph"/>
      </w:pPr>
      <w:r>
        <w:t xml:space="preserve">A clean report would include adjusted EBITDA above the first quarter’s $2.0 billion, continued broad-based volume growth, reaffirmed or increased guidance, and on-time project execution.</w:t>
      </w:r>
    </w:p>
    <w:p>
      <w:r>
        <w:pict>
          <v:rect style="width:0;height:1.5pt" o:hralign="center" o:hrstd="t" o:hr="t"/>
        </w:pict>
      </w:r>
    </w:p>
    <w:bookmarkEnd w:id="9"/>
    <w:bookmarkStart w:id="10" w:name="the-financial-hurdle"/>
    <w:p>
      <w:pPr>
        <w:pStyle w:val="Heading2"/>
      </w:pPr>
      <w:r>
        <w:t xml:space="preserve">The financial hurdle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Current 2026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$1.98B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$2.00B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8.0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8.5B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income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$853M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$776M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3.21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3.79B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$5.53 midpoint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$749M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$864M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2.7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3.2B</w:t>
            </w:r>
          </w:p>
        </w:tc>
      </w:tr>
    </w:tbl>
    <w:p>
      <w:pPr>
        <w:pStyle w:val="BodyText"/>
      </w:pPr>
      <w:r>
        <w:t xml:space="preserve">First-quarter EPS included a</w:t>
      </w:r>
      <w:r>
        <w:t xml:space="preserve"> </w:t>
      </w:r>
      <w:r>
        <w:rPr>
          <w:b/>
          <w:bCs/>
        </w:rPr>
        <w:t xml:space="preserve">$0.07-per-share after-tax noncash impairment</w:t>
      </w:r>
      <w:r>
        <w:t xml:space="preserve"> </w:t>
      </w:r>
      <w:r>
        <w:t xml:space="preserve">related to the Powder Springs Logistics joint venture.</w:t>
      </w:r>
    </w:p>
    <w:p>
      <w:pPr>
        <w:pStyle w:val="BodyText"/>
      </w:pPr>
      <w:r>
        <w:t xml:space="preserve">At the</w:t>
      </w:r>
      <w:r>
        <w:t xml:space="preserve"> </w:t>
      </w:r>
      <m:oMath>
        <m:r>
          <m:t>8.25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rPr>
            <m:sty m:val="p"/>
          </m:rPr>
          <m:t>,</m:t>
        </m:r>
        <m:r>
          <m:t>O</m:t>
        </m:r>
        <m:r>
          <m:t>N</m:t>
        </m:r>
        <m:r>
          <m:t>E</m:t>
        </m:r>
        <m:r>
          <m:t>O</m:t>
        </m:r>
        <m:r>
          <m:t>K</m:t>
        </m:r>
        <m:r>
          <m:t>n</m:t>
        </m:r>
        <m:r>
          <m:t>e</m:t>
        </m:r>
        <m:r>
          <m:t>e</m:t>
        </m:r>
        <m:r>
          <m:t>d</m:t>
        </m:r>
        <m:r>
          <m:t>s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6.25 billion of adjusted EBITDA over the final three quarters**, or about</w:t>
      </w:r>
      <w:r>
        <w:t xml:space="preserve"> </w:t>
      </w:r>
      <w:r>
        <w:rPr>
          <w:b/>
          <w:bCs/>
        </w:rPr>
        <w:t xml:space="preserve">$2.08 billion per quarter on average</w:t>
      </w:r>
      <w:r>
        <w:t xml:space="preserve">. Management has said the first quarter should be the year’s lowest EBITDA quarter and expects an upward trajectory through the balance of 2026.</w:t>
      </w:r>
    </w:p>
    <w:p>
      <w:pPr>
        <w:pStyle w:val="BodyText"/>
      </w:pPr>
      <w:r>
        <w:t xml:space="preserve">That makes roughly $2.0 billion an undemanding hurdle. The more relevant test is whether second-quarter results and commentary support an average above $2.08 billion for the remainder of the year, with the fourth quarter benefiting from additional projects and seasonal blending activity.</w:t>
      </w:r>
    </w:p>
    <w:p>
      <w:r>
        <w:pict>
          <v:rect style="width:0;height:1.5pt" o:hralign="center" o:hrstd="t" o:hr="t"/>
        </w:pict>
      </w:r>
    </w:p>
    <w:bookmarkEnd w:id="10"/>
    <w:bookmarkStart w:id="15" w:name="what-to-watch-by-segment"/>
    <w:p>
      <w:pPr>
        <w:pStyle w:val="Heading2"/>
      </w:pPr>
      <w:r>
        <w:t xml:space="preserve">What to watch by segment</w:t>
      </w:r>
    </w:p>
    <w:bookmarkStart w:id="11" w:name="Xf8025d3d8a50098163b420790327615661ae62d"/>
    <w:p>
      <w:pPr>
        <w:pStyle w:val="Heading3"/>
      </w:pPr>
      <w:r>
        <w:t xml:space="preserve">1. Natural Gas Liquids: volumes versus fee-rate pressure</w:t>
      </w:r>
    </w:p>
    <w:p>
      <w:pPr>
        <w:pStyle w:val="FirstParagraph"/>
      </w:pPr>
      <w:r>
        <w:t xml:space="preserve">The NGL segment was the largest first-quarter contributor, producing</w:t>
      </w:r>
      <w:r>
        <w:t xml:space="preserve"> </w:t>
      </w:r>
      <w:r>
        <w:rPr>
          <w:b/>
          <w:bCs/>
        </w:rPr>
        <w:t xml:space="preserve">$706 million of adjusted EBITDA</w:t>
      </w:r>
      <w:r>
        <w:t xml:space="preserve">, up 11% year over year. Raw-feed throughput increased 15% to</w:t>
      </w:r>
      <w:r>
        <w:t xml:space="preserve"> </w:t>
      </w:r>
      <w:r>
        <w:rPr>
          <w:b/>
          <w:bCs/>
        </w:rPr>
        <w:t xml:space="preserve">1.493 million barrels per day</w:t>
      </w:r>
      <w:r>
        <w:t xml:space="preserve">, including:</w:t>
      </w:r>
    </w:p>
    <w:p>
      <w:pPr>
        <w:pStyle w:val="Compact"/>
        <w:numPr>
          <w:ilvl w:val="0"/>
          <w:numId w:val="1002"/>
        </w:numPr>
      </w:pPr>
      <w:r>
        <w:t xml:space="preserve">31% growth in the Gulf Coast/Permian region;</w:t>
      </w:r>
    </w:p>
    <w:p>
      <w:pPr>
        <w:pStyle w:val="Compact"/>
        <w:numPr>
          <w:ilvl w:val="0"/>
          <w:numId w:val="1002"/>
        </w:numPr>
      </w:pPr>
      <w:r>
        <w:t xml:space="preserve">11% growth in the Rocky Mountain region; and</w:t>
      </w:r>
    </w:p>
    <w:p>
      <w:pPr>
        <w:pStyle w:val="Compact"/>
        <w:numPr>
          <w:ilvl w:val="0"/>
          <w:numId w:val="1002"/>
        </w:numPr>
      </w:pPr>
      <w:r>
        <w:t xml:space="preserve">4% growth in the Mid-Continent.</w:t>
      </w:r>
    </w:p>
    <w:p>
      <w:pPr>
        <w:pStyle w:val="FirstParagraph"/>
      </w:pPr>
      <w:r>
        <w:t xml:space="preserve">The strongest second-quarter signal would be continued throughput growth, particularly from newly connected Permian plants and increased ethane recovery in the Bakken and Mid-Continent.</w:t>
      </w:r>
    </w:p>
    <w:p>
      <w:pPr>
        <w:pStyle w:val="BodyText"/>
      </w:pPr>
      <w:r>
        <w:t xml:space="preserve">The offset is economics per barrel. First-quarter exchange-service earnings were reduced by lower average fee rates and narrower fractionation differentials. Investors should therefore distinguish between: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Durable volume-driven growth</w:t>
      </w:r>
      <w:r>
        <w:t xml:space="preserve">, which supports the long-term thesis; and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Inventory, marketing and optimization gains</w:t>
      </w:r>
      <w:r>
        <w:t xml:space="preserve">, which may be less repeatable.</w:t>
      </w:r>
    </w:p>
    <w:p>
      <w:pPr>
        <w:pStyle w:val="FirstParagraph"/>
      </w:pPr>
      <w:r>
        <w:t xml:space="preserve">First-quarter NGL EBITDA also included $42 million of higher optimization and marketing earnings, including $25 million from sales of purity NGL inventory.</w:t>
      </w:r>
    </w:p>
    <w:p>
      <w:pPr>
        <w:pStyle w:val="BodyText"/>
      </w:pPr>
      <w:r>
        <w:rPr>
          <w:b/>
          <w:bCs/>
        </w:rPr>
        <w:t xml:space="preserve">Key questions:</w:t>
      </w:r>
    </w:p>
    <w:p>
      <w:pPr>
        <w:pStyle w:val="Compact"/>
        <w:numPr>
          <w:ilvl w:val="0"/>
          <w:numId w:val="1004"/>
        </w:numPr>
      </w:pPr>
      <w:r>
        <w:t xml:space="preserve">Did raw-feed throughput remain near or above the first-quarter level?</w:t>
      </w:r>
    </w:p>
    <w:p>
      <w:pPr>
        <w:pStyle w:val="Compact"/>
        <w:numPr>
          <w:ilvl w:val="0"/>
          <w:numId w:val="1004"/>
        </w:numPr>
      </w:pPr>
      <w:r>
        <w:t xml:space="preserve">Is stronger ethane recovery translating into earnings as well as volumes?</w:t>
      </w:r>
    </w:p>
    <w:p>
      <w:pPr>
        <w:pStyle w:val="Compact"/>
        <w:numPr>
          <w:ilvl w:val="0"/>
          <w:numId w:val="1004"/>
        </w:numPr>
      </w:pPr>
      <w:r>
        <w:t xml:space="preserve">Have fee rates or fractionation margins weakened further?</w:t>
      </w:r>
    </w:p>
    <w:p>
      <w:pPr>
        <w:pStyle w:val="Compact"/>
        <w:numPr>
          <w:ilvl w:val="0"/>
          <w:numId w:val="1004"/>
        </w:numPr>
      </w:pPr>
      <w:r>
        <w:t xml:space="preserve">Is the proposed LPG export terminal sufficiently contracted to move toward a final investment decision?</w:t>
      </w:r>
    </w:p>
    <w:p>
      <w:r>
        <w:pict>
          <v:rect style="width:0;height:1.5pt" o:hralign="center" o:hrstd="t" o:hr="t"/>
        </w:pict>
      </w:r>
    </w:p>
    <w:bookmarkEnd w:id="11"/>
    <w:bookmarkStart w:id="12" w:name="Xac9407d031b5463c3b2686821ff20cb0043a558"/>
    <w:p>
      <w:pPr>
        <w:pStyle w:val="Heading3"/>
      </w:pPr>
      <w:r>
        <w:t xml:space="preserve">2. Natural Gas Pipelines: expect a difficult sequential comparison</w:t>
      </w:r>
    </w:p>
    <w:p>
      <w:pPr>
        <w:pStyle w:val="FirstParagraph"/>
      </w:pPr>
      <w:r>
        <w:t xml:space="preserve">Natural Gas Pipelines generated</w:t>
      </w:r>
      <w:r>
        <w:t xml:space="preserve"> </w:t>
      </w:r>
      <w:r>
        <w:rPr>
          <w:b/>
          <w:bCs/>
        </w:rPr>
        <w:t xml:space="preserve">$339 million of first-quarter adjusted EBITDA</w:t>
      </w:r>
      <w:r>
        <w:t xml:space="preserve">, up from $212 million a year earlier. That performance included:</w:t>
      </w:r>
    </w:p>
    <w:p>
      <w:pPr>
        <w:pStyle w:val="Compact"/>
        <w:numPr>
          <w:ilvl w:val="0"/>
          <w:numId w:val="1005"/>
        </w:numPr>
      </w:pPr>
      <w:r>
        <w:t xml:space="preserve">$70 million from favorable Waha-to-Katy price differentials;</w:t>
      </w:r>
    </w:p>
    <w:p>
      <w:pPr>
        <w:pStyle w:val="Compact"/>
        <w:numPr>
          <w:ilvl w:val="0"/>
          <w:numId w:val="1005"/>
        </w:numPr>
      </w:pPr>
      <w:r>
        <w:t xml:space="preserve">$19 million related to Winter Storm Fern;</w:t>
      </w:r>
    </w:p>
    <w:p>
      <w:pPr>
        <w:pStyle w:val="Compact"/>
        <w:numPr>
          <w:ilvl w:val="0"/>
          <w:numId w:val="1005"/>
        </w:numPr>
      </w:pPr>
      <w:r>
        <w:t xml:space="preserve">higher firm transportation revenue; and</w:t>
      </w:r>
    </w:p>
    <w:p>
      <w:pPr>
        <w:pStyle w:val="Compact"/>
        <w:numPr>
          <w:ilvl w:val="0"/>
          <w:numId w:val="1005"/>
        </w:numPr>
      </w:pPr>
      <w:r>
        <w:t xml:space="preserve">stronger Northern Border Pipeline earnings.</w:t>
      </w:r>
    </w:p>
    <w:p>
      <w:pPr>
        <w:pStyle w:val="FirstParagraph"/>
      </w:pPr>
      <w:r>
        <w:t xml:space="preserve">The storm contribution should not repeat, but management previously expected favorable Waha-to-Katy differentials to continue through the second quarter and into the third quarter before additional Permian takeaway capacity normalizes the spread.</w:t>
      </w:r>
    </w:p>
    <w:p>
      <w:pPr>
        <w:pStyle w:val="BodyText"/>
      </w:pPr>
      <w:r>
        <w:t xml:space="preserve">This creates an important earnings-quality test. A sequential decline from the unusually strong first quarter would not necessarily be negative if firm transportation revenue, contracted capacity and underlying utilization remain strong.</w:t>
      </w:r>
    </w:p>
    <w:p>
      <w:pPr>
        <w:pStyle w:val="BodyText"/>
      </w:pPr>
      <w:r>
        <w:t xml:space="preserve">At the end of the first quarter, consolidated transportation capacity was</w:t>
      </w:r>
      <w:r>
        <w:t xml:space="preserve"> </w:t>
      </w:r>
      <w:r>
        <w:rPr>
          <w:b/>
          <w:bCs/>
        </w:rPr>
        <w:t xml:space="preserve">93% contracted</w:t>
      </w:r>
      <w:r>
        <w:t xml:space="preserve">, versus 91% a year earlier.</w:t>
      </w:r>
    </w:p>
    <w:p>
      <w:pPr>
        <w:pStyle w:val="BodyText"/>
      </w:pPr>
      <w:r>
        <w:rPr>
          <w:b/>
          <w:bCs/>
        </w:rPr>
        <w:t xml:space="preserve">Key questions:</w:t>
      </w:r>
    </w:p>
    <w:p>
      <w:pPr>
        <w:pStyle w:val="Compact"/>
        <w:numPr>
          <w:ilvl w:val="0"/>
          <w:numId w:val="1006"/>
        </w:numPr>
      </w:pPr>
      <w:r>
        <w:t xml:space="preserve">How much Waha-to-Katy optimization benefit was captured in Q2?</w:t>
      </w:r>
    </w:p>
    <w:p>
      <w:pPr>
        <w:pStyle w:val="Compact"/>
        <w:numPr>
          <w:ilvl w:val="0"/>
          <w:numId w:val="1006"/>
        </w:numPr>
      </w:pPr>
      <w:r>
        <w:t xml:space="preserve">When does management now expect the differential to normalize?</w:t>
      </w:r>
    </w:p>
    <w:p>
      <w:pPr>
        <w:pStyle w:val="Compact"/>
        <w:numPr>
          <w:ilvl w:val="0"/>
          <w:numId w:val="1006"/>
        </w:numPr>
      </w:pPr>
      <w:r>
        <w:t xml:space="preserve">Is Northern Border’s outperformance proving durable?</w:t>
      </w:r>
    </w:p>
    <w:p>
      <w:pPr>
        <w:pStyle w:val="Compact"/>
        <w:numPr>
          <w:ilvl w:val="0"/>
          <w:numId w:val="1006"/>
        </w:numPr>
      </w:pPr>
      <w:r>
        <w:t xml:space="preserve">Have any Texas or Oklahoma data-center projects advanced toward commercial commitments?</w:t>
      </w:r>
    </w:p>
    <w:p>
      <w:pPr>
        <w:pStyle w:val="FirstParagraph"/>
      </w:pPr>
      <w:r>
        <w:t xml:space="preserve">The data-center opportunity deserves particular attention. Management said projects initially envisioned at roughly</w:t>
      </w:r>
      <w:r>
        <w:t xml:space="preserve"> </w:t>
      </w:r>
      <m:oMath>
        <m:r>
          <m:t>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a</m:t>
        </m:r>
        <m:r>
          <m:t>r</m:t>
        </m:r>
        <m:r>
          <m:t>e</m:t>
        </m:r>
        <m:r>
          <m:t>n</m:t>
        </m:r>
        <m:r>
          <m:t>o</m:t>
        </m:r>
        <m:r>
          <m:t>w</m:t>
        </m:r>
        <m:r>
          <m:t>a</m:t>
        </m:r>
        <m:r>
          <m:t>p</m:t>
        </m:r>
        <m:r>
          <m:t>p</m:t>
        </m:r>
        <m:r>
          <m:t>e</m:t>
        </m:r>
        <m:r>
          <m:t>a</m:t>
        </m:r>
        <m:r>
          <m:t>r</m:t>
        </m:r>
        <m:r>
          <m:t>i</m:t>
        </m:r>
        <m:r>
          <m:t>n</m:t>
        </m:r>
        <m:r>
          <m:t>g</m:t>
        </m:r>
        <m:r>
          <m:t>c</m:t>
        </m:r>
        <m:r>
          <m:t>l</m:t>
        </m:r>
        <m:r>
          <m:t>o</m:t>
        </m:r>
        <m:r>
          <m:t>s</m:t>
        </m:r>
        <m:r>
          <m:t>e</m:t>
        </m:r>
        <m:r>
          <m:t>r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400 million-$700 million**, because larger loads require new pipelines reaching further into ONEOK’s system. Awards could strengthen the post-2027 growth backlog, although they would also extend the capital-spending cycle.</w:t>
      </w:r>
    </w:p>
    <w:p>
      <w:r>
        <w:pict>
          <v:rect style="width:0;height:1.5pt" o:hralign="center" o:hrstd="t" o:hr="t"/>
        </w:pict>
      </w:r>
    </w:p>
    <w:bookmarkEnd w:id="12"/>
    <w:bookmarkStart w:id="13" w:name="X01bcb99213cabb17b3b09915e52753f9b0f269d"/>
    <w:p>
      <w:pPr>
        <w:pStyle w:val="Heading3"/>
      </w:pPr>
      <w:r>
        <w:t xml:space="preserve">3. Refined Products and Crude: potential seasonal rebound</w:t>
      </w:r>
    </w:p>
    <w:p>
      <w:pPr>
        <w:pStyle w:val="FirstParagraph"/>
      </w:pPr>
      <w:r>
        <w:t xml:space="preserve">This segment produced</w:t>
      </w:r>
      <w:r>
        <w:t xml:space="preserve"> </w:t>
      </w:r>
      <w:r>
        <w:rPr>
          <w:b/>
          <w:bCs/>
        </w:rPr>
        <w:t xml:space="preserve">$492 million of first-quarter adjusted EBITDA</w:t>
      </w:r>
      <w:r>
        <w:t xml:space="preserve">, compared with $557 million in Q2 2025.</w:t>
      </w:r>
    </w:p>
    <w:p>
      <w:pPr>
        <w:pStyle w:val="BodyText"/>
      </w:pPr>
      <w:r>
        <w:t xml:space="preserve">Second-quarter conditions should benefit from:</w:t>
      </w:r>
    </w:p>
    <w:p>
      <w:pPr>
        <w:pStyle w:val="Compact"/>
        <w:numPr>
          <w:ilvl w:val="0"/>
          <w:numId w:val="1007"/>
        </w:numPr>
      </w:pPr>
      <w:r>
        <w:t xml:space="preserve">Summer gasoline demand;</w:t>
      </w:r>
    </w:p>
    <w:p>
      <w:pPr>
        <w:pStyle w:val="Compact"/>
        <w:numPr>
          <w:ilvl w:val="0"/>
          <w:numId w:val="1007"/>
        </w:numPr>
      </w:pPr>
      <w:r>
        <w:t xml:space="preserve">Strong diesel and agricultural demand;</w:t>
      </w:r>
    </w:p>
    <w:p>
      <w:pPr>
        <w:pStyle w:val="Compact"/>
        <w:numPr>
          <w:ilvl w:val="0"/>
          <w:numId w:val="1007"/>
        </w:numPr>
      </w:pPr>
      <w:r>
        <w:t xml:space="preserve">High refinery utilization;</w:t>
      </w:r>
    </w:p>
    <w:p>
      <w:pPr>
        <w:pStyle w:val="Compact"/>
        <w:numPr>
          <w:ilvl w:val="0"/>
          <w:numId w:val="1007"/>
        </w:numPr>
      </w:pPr>
      <w:r>
        <w:t xml:space="preserve">Additional blending opportunities;</w:t>
      </w:r>
    </w:p>
    <w:p>
      <w:pPr>
        <w:pStyle w:val="Compact"/>
        <w:numPr>
          <w:ilvl w:val="0"/>
          <w:numId w:val="1007"/>
        </w:numPr>
      </w:pPr>
      <w:r>
        <w:t xml:space="preserve">Export activity at Gulf Coast docks; and</w:t>
      </w:r>
    </w:p>
    <w:p>
      <w:pPr>
        <w:pStyle w:val="Compact"/>
        <w:numPr>
          <w:ilvl w:val="0"/>
          <w:numId w:val="1007"/>
        </w:numPr>
      </w:pPr>
      <w:r>
        <w:t xml:space="preserve">Higher-margin Permian crude gathering.</w:t>
      </w:r>
    </w:p>
    <w:p>
      <w:pPr>
        <w:pStyle w:val="FirstParagraph"/>
      </w:pPr>
      <w:r>
        <w:t xml:space="preserve">ONEOK also entered the year with significant butane-blending hedges and subsequently added fall hedges at higher prices. Management has emphasized that increasing gasoline throughput and completed synergy projects—not regulatory waivers—are the more important drivers of blending volumes.</w:t>
      </w:r>
    </w:p>
    <w:p>
      <w:pPr>
        <w:pStyle w:val="BodyText"/>
      </w:pPr>
      <w:r>
        <w:t xml:space="preserve">Potential offsets include losses at Powder Springs, lower crude volumes tied to low-margin short-haul movements and the timing of maintenance or operational expenses.</w:t>
      </w:r>
    </w:p>
    <w:p>
      <w:pPr>
        <w:pStyle w:val="BodyText"/>
      </w:pPr>
      <w:r>
        <w:rPr>
          <w:b/>
          <w:bCs/>
        </w:rPr>
        <w:t xml:space="preserve">Key questions:</w:t>
      </w:r>
    </w:p>
    <w:p>
      <w:pPr>
        <w:pStyle w:val="Compact"/>
        <w:numPr>
          <w:ilvl w:val="0"/>
          <w:numId w:val="1008"/>
        </w:numPr>
      </w:pPr>
      <w:r>
        <w:t xml:space="preserve">Did refined-products shipments remain above the first quarter’s 1.568 million barrels per day?</w:t>
      </w:r>
    </w:p>
    <w:p>
      <w:pPr>
        <w:pStyle w:val="Compact"/>
        <w:numPr>
          <w:ilvl w:val="0"/>
          <w:numId w:val="1008"/>
        </w:numPr>
      </w:pPr>
      <w:r>
        <w:t xml:space="preserve">Are blending margins and volumes tracking better than the original plan?</w:t>
      </w:r>
    </w:p>
    <w:p>
      <w:pPr>
        <w:pStyle w:val="Compact"/>
        <w:numPr>
          <w:ilvl w:val="0"/>
          <w:numId w:val="1008"/>
        </w:numPr>
      </w:pPr>
      <w:r>
        <w:t xml:space="preserve">Has Powder Springs stabilized following the first-quarter impairment?</w:t>
      </w:r>
    </w:p>
    <w:p>
      <w:pPr>
        <w:pStyle w:val="Compact"/>
        <w:numPr>
          <w:ilvl w:val="0"/>
          <w:numId w:val="1008"/>
        </w:numPr>
      </w:pPr>
      <w:r>
        <w:t xml:space="preserve">Did the Greater Denver expansion enter service on schedule around midyear?</w:t>
      </w:r>
    </w:p>
    <w:p>
      <w:pPr>
        <w:pStyle w:val="FirstParagraph"/>
      </w:pPr>
      <w:r>
        <w:t xml:space="preserve">The Denver project adds</w:t>
      </w:r>
      <w:r>
        <w:t xml:space="preserve"> </w:t>
      </w:r>
      <w:r>
        <w:rPr>
          <w:b/>
          <w:bCs/>
        </w:rPr>
        <w:t xml:space="preserve">35,000 barrels per day</w:t>
      </w:r>
      <w:r>
        <w:t xml:space="preserve"> </w:t>
      </w:r>
      <w:r>
        <w:t xml:space="preserve">of capacity and is one of the most immediate project-execution checkpoints in the report.</w:t>
      </w:r>
    </w:p>
    <w:p>
      <w:r>
        <w:pict>
          <v:rect style="width:0;height:1.5pt" o:hralign="center" o:hrstd="t" o:hr="t"/>
        </w:pict>
      </w:r>
    </w:p>
    <w:bookmarkEnd w:id="13"/>
    <w:bookmarkStart w:id="14" w:name="Xebe05c3c1858ae48924fd5d4d912427d8c59efe"/>
    <w:p>
      <w:pPr>
        <w:pStyle w:val="Heading3"/>
      </w:pPr>
      <w:r>
        <w:t xml:space="preserve">4. Gathering and Processing: the clearest recovery opportunity</w:t>
      </w:r>
    </w:p>
    <w:p>
      <w:pPr>
        <w:pStyle w:val="FirstParagraph"/>
      </w:pPr>
      <w:r>
        <w:t xml:space="preserve">Gathering and Processing was the only segment with lower year-over-year EBITDA in the first quarter:</w:t>
      </w:r>
    </w:p>
    <w:p>
      <w:pPr>
        <w:pStyle w:val="Compact"/>
        <w:numPr>
          <w:ilvl w:val="0"/>
          <w:numId w:val="1009"/>
        </w:numPr>
      </w:pPr>
      <w:r>
        <w:t xml:space="preserve">Adjusted EBITDA fell to</w:t>
      </w:r>
      <w:r>
        <w:t xml:space="preserve"> </w:t>
      </w:r>
      <w:r>
        <w:rPr>
          <w:b/>
          <w:bCs/>
        </w:rPr>
        <w:t xml:space="preserve">$467 million</w:t>
      </w:r>
      <w:r>
        <w:t xml:space="preserve"> </w:t>
      </w:r>
      <w:r>
        <w:t xml:space="preserve">from $491 million.</w:t>
      </w:r>
    </w:p>
    <w:p>
      <w:pPr>
        <w:pStyle w:val="Compact"/>
        <w:numPr>
          <w:ilvl w:val="0"/>
          <w:numId w:val="1009"/>
        </w:numPr>
      </w:pPr>
      <w:r>
        <w:t xml:space="preserve">Natural gas processed rose 5% to</w:t>
      </w:r>
      <w:r>
        <w:t xml:space="preserve"> </w:t>
      </w:r>
      <w:r>
        <w:rPr>
          <w:b/>
          <w:bCs/>
        </w:rPr>
        <w:t xml:space="preserve">5.49 Bcf/d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Lower realized NGL and natural-gas prices reduced earnings by $64 million, partially offset by higher volumes and lower costs.</w:t>
      </w:r>
    </w:p>
    <w:p>
      <w:pPr>
        <w:pStyle w:val="FirstParagraph"/>
      </w:pPr>
      <w:r>
        <w:t xml:space="preserve">Management expected Rocky Mountain volumes to strengthen in the second and third quarters as winter-related impacts normalized. The relocated</w:t>
      </w:r>
      <w:r>
        <w:t xml:space="preserve"> </w:t>
      </w:r>
      <w:r>
        <w:rPr>
          <w:b/>
          <w:bCs/>
        </w:rPr>
        <w:t xml:space="preserve">150 MMcf/d Shadowfax plant</w:t>
      </w:r>
      <w:r>
        <w:t xml:space="preserve"> </w:t>
      </w:r>
      <w:r>
        <w:t xml:space="preserve">in the Midland Basin should also continue ramping.</w:t>
      </w:r>
    </w:p>
    <w:p>
      <w:pPr>
        <w:pStyle w:val="BodyText"/>
      </w:pPr>
      <w:r>
        <w:t xml:space="preserve">The key is whether physical growth begins to outweigh the drag from the company’s lower-price hedge book. ONEOK entered 2026 approximately 75% hedged, but incremental volumes can receive current market economics.</w:t>
      </w:r>
    </w:p>
    <w:p>
      <w:pPr>
        <w:pStyle w:val="BodyText"/>
      </w:pPr>
      <w:r>
        <w:rPr>
          <w:b/>
          <w:bCs/>
        </w:rPr>
        <w:t xml:space="preserve">Key questions:</w:t>
      </w:r>
    </w:p>
    <w:p>
      <w:pPr>
        <w:pStyle w:val="Compact"/>
        <w:numPr>
          <w:ilvl w:val="0"/>
          <w:numId w:val="1010"/>
        </w:numPr>
      </w:pPr>
      <w:r>
        <w:t xml:space="preserve">Did processed volumes exceed the first-quarter run rate?</w:t>
      </w:r>
    </w:p>
    <w:p>
      <w:pPr>
        <w:pStyle w:val="Compact"/>
        <w:numPr>
          <w:ilvl w:val="0"/>
          <w:numId w:val="1010"/>
        </w:numPr>
      </w:pPr>
      <w:r>
        <w:t xml:space="preserve">How quickly is Shadowfax filling?</w:t>
      </w:r>
    </w:p>
    <w:p>
      <w:pPr>
        <w:pStyle w:val="Compact"/>
        <w:numPr>
          <w:ilvl w:val="0"/>
          <w:numId w:val="1010"/>
        </w:numPr>
      </w:pPr>
      <w:r>
        <w:t xml:space="preserve">Are private operators adding completion crews or rigs?</w:t>
      </w:r>
    </w:p>
    <w:p>
      <w:pPr>
        <w:pStyle w:val="Compact"/>
        <w:numPr>
          <w:ilvl w:val="0"/>
          <w:numId w:val="1010"/>
        </w:numPr>
      </w:pPr>
      <w:r>
        <w:t xml:space="preserve">Has lower realized pricing remained a meaningful EBITDA headwind?</w:t>
      </w:r>
    </w:p>
    <w:p>
      <w:pPr>
        <w:pStyle w:val="Compact"/>
        <w:numPr>
          <w:ilvl w:val="0"/>
          <w:numId w:val="1010"/>
        </w:numPr>
      </w:pPr>
      <w:r>
        <w:t xml:space="preserve">Are Delaware Basin expansions still scheduled for Q3 2026?</w:t>
      </w:r>
    </w:p>
    <w:p>
      <w:pPr>
        <w:pStyle w:val="FirstParagraph"/>
      </w:pPr>
      <w:r>
        <w:t xml:space="preserve">A sequential recovery toward last year’s Q2 segment EBITDA of $540 million would be constructive, although the realized-price environment may make that a demanding comparison.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7" w:name="X77c6352cc72fabd31aae19fa5a4693b8c091ef1"/>
    <w:p>
      <w:pPr>
        <w:pStyle w:val="Heading2"/>
      </w:pPr>
      <w:r>
        <w:t xml:space="preserve">Guidance: reaffirmation may be enough, but the details matter</w:t>
      </w:r>
    </w:p>
    <w:p>
      <w:pPr>
        <w:pStyle w:val="FirstParagraph"/>
      </w:pPr>
      <w:r>
        <w:t xml:space="preserve">ONEOK raised its 2026 outlook following the first quarter to: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Adjusted EBITDA:</w:t>
      </w:r>
      <w:r>
        <w:t xml:space="preserve"> </w:t>
      </w:r>
      <m:oMath>
        <m:r>
          <m:t>8.0</m:t>
        </m:r>
        <m:r>
          <m:t>B</m:t>
        </m:r>
        <m:r>
          <m:rPr>
            <m:sty m:val="p"/>
          </m:rPr>
          <m:t>−</m:t>
        </m:r>
      </m:oMath>
      <w:r>
        <w:t xml:space="preserve">8.5B;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Net income:</w:t>
      </w:r>
      <w:r>
        <w:t xml:space="preserve"> </w:t>
      </w:r>
      <m:oMath>
        <m:r>
          <m:t>3.21</m:t>
        </m:r>
        <m:r>
          <m:t>B</m:t>
        </m:r>
        <m:r>
          <m:rPr>
            <m:sty m:val="p"/>
          </m:rPr>
          <m:t>−</m:t>
        </m:r>
      </m:oMath>
      <w:r>
        <w:t xml:space="preserve">3.79B;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EPS:</w:t>
      </w:r>
      <w:r>
        <w:t xml:space="preserve"> </w:t>
      </w:r>
      <w:r>
        <w:t xml:space="preserve">$5.53 midpoint; and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Capital expenditures:</w:t>
      </w:r>
      <w:r>
        <w:t xml:space="preserve"> </w:t>
      </w:r>
      <w:r>
        <w:t xml:space="preserve">unchanged at</w:t>
      </w:r>
      <w:r>
        <w:t xml:space="preserve"> </w:t>
      </w:r>
      <m:oMath>
        <m:r>
          <m:t>2.7</m:t>
        </m:r>
        <m:r>
          <m:t>B</m:t>
        </m:r>
        <m:r>
          <m:rPr>
            <m:sty m:val="p"/>
          </m:rPr>
          <m:t>−</m:t>
        </m:r>
      </m:oMath>
      <w:r>
        <w:t xml:space="preserve">3.2B.</w:t>
      </w:r>
    </w:p>
    <w:p>
      <w:pPr>
        <w:pStyle w:val="FirstParagraph"/>
      </w:pPr>
      <w:r>
        <w:t xml:space="preserve">Management attributed the increase to stronger business performance, better volume expectations and more favorable market opportunities. It did not incorporate all potential upside from a stronger forward commodity environment.</w:t>
      </w:r>
    </w:p>
    <w:bookmarkStart w:id="16" w:name="possible-interpretations"/>
    <w:p>
      <w:pPr>
        <w:pStyle w:val="Heading3"/>
      </w:pPr>
      <w:r>
        <w:t xml:space="preserve">Possible interpretations</w:t>
      </w:r>
    </w:p>
    <w:p>
      <w:pPr>
        <w:pStyle w:val="FirstParagraph"/>
      </w:pPr>
      <w:r>
        <w:rPr>
          <w:b/>
          <w:bCs/>
        </w:rPr>
        <w:t xml:space="preserve">Bullish outcome</w:t>
      </w:r>
    </w:p>
    <w:p>
      <w:pPr>
        <w:pStyle w:val="Compact"/>
        <w:numPr>
          <w:ilvl w:val="0"/>
          <w:numId w:val="1012"/>
        </w:numPr>
      </w:pPr>
      <w:r>
        <w:t xml:space="preserve">Q2 EBITDA clearly exceeds $2.0 billion;</w:t>
      </w:r>
    </w:p>
    <w:p>
      <w:pPr>
        <w:pStyle w:val="Compact"/>
        <w:numPr>
          <w:ilvl w:val="0"/>
          <w:numId w:val="1012"/>
        </w:numPr>
      </w:pPr>
      <w:r>
        <w:t xml:space="preserve">Full-year guidance is raised or management points toward the upper half;</w:t>
      </w:r>
    </w:p>
    <w:p>
      <w:pPr>
        <w:pStyle w:val="Compact"/>
        <w:numPr>
          <w:ilvl w:val="0"/>
          <w:numId w:val="1012"/>
        </w:numPr>
      </w:pPr>
      <w:r>
        <w:t xml:space="preserve">Volume growth is broad-based;</w:t>
      </w:r>
    </w:p>
    <w:p>
      <w:pPr>
        <w:pStyle w:val="Compact"/>
        <w:numPr>
          <w:ilvl w:val="0"/>
          <w:numId w:val="1012"/>
        </w:numPr>
      </w:pPr>
      <w:r>
        <w:t xml:space="preserve">Pipeline optimization remains favorable without being the sole source of upside;</w:t>
      </w:r>
    </w:p>
    <w:p>
      <w:pPr>
        <w:pStyle w:val="Compact"/>
        <w:numPr>
          <w:ilvl w:val="0"/>
          <w:numId w:val="1012"/>
        </w:numPr>
      </w:pPr>
      <w:r>
        <w:t xml:space="preserve">Denver is placed in service and other projects remain on schedule; and</w:t>
      </w:r>
    </w:p>
    <w:p>
      <w:pPr>
        <w:pStyle w:val="Compact"/>
        <w:numPr>
          <w:ilvl w:val="0"/>
          <w:numId w:val="1012"/>
        </w:numPr>
      </w:pPr>
      <w:r>
        <w:t xml:space="preserve">Management provides tangible progress on LPG exports or data-center pipelines.</w:t>
      </w:r>
    </w:p>
    <w:p>
      <w:pPr>
        <w:pStyle w:val="FirstParagraph"/>
      </w:pPr>
      <w:r>
        <w:rPr>
          <w:b/>
          <w:bCs/>
        </w:rPr>
        <w:t xml:space="preserve">Neutral outcome</w:t>
      </w:r>
    </w:p>
    <w:p>
      <w:pPr>
        <w:pStyle w:val="Compact"/>
        <w:numPr>
          <w:ilvl w:val="0"/>
          <w:numId w:val="1013"/>
        </w:numPr>
      </w:pPr>
      <w:r>
        <w:t xml:space="preserve">EBITDA increases modestly from Q1;</w:t>
      </w:r>
    </w:p>
    <w:p>
      <w:pPr>
        <w:pStyle w:val="Compact"/>
        <w:numPr>
          <w:ilvl w:val="0"/>
          <w:numId w:val="1013"/>
        </w:numPr>
      </w:pPr>
      <w:r>
        <w:t xml:space="preserve">Guidance is reaffirmed;</w:t>
      </w:r>
    </w:p>
    <w:p>
      <w:pPr>
        <w:pStyle w:val="Compact"/>
        <w:numPr>
          <w:ilvl w:val="0"/>
          <w:numId w:val="1013"/>
        </w:numPr>
      </w:pPr>
      <w:r>
        <w:t xml:space="preserve">Strong NGL and refined-product trends offset lower pipeline optimization;</w:t>
      </w:r>
    </w:p>
    <w:p>
      <w:pPr>
        <w:pStyle w:val="Compact"/>
        <w:numPr>
          <w:ilvl w:val="0"/>
          <w:numId w:val="1013"/>
        </w:numPr>
      </w:pPr>
      <w:r>
        <w:t xml:space="preserve">Project schedules remain intact; and</w:t>
      </w:r>
    </w:p>
    <w:p>
      <w:pPr>
        <w:pStyle w:val="Compact"/>
        <w:numPr>
          <w:ilvl w:val="0"/>
          <w:numId w:val="1013"/>
        </w:numPr>
      </w:pPr>
      <w:r>
        <w:t xml:space="preserve">Management retains a cautious posture despite favorable conditions.</w:t>
      </w:r>
    </w:p>
    <w:p>
      <w:pPr>
        <w:pStyle w:val="FirstParagraph"/>
      </w:pPr>
      <w:r>
        <w:rPr>
          <w:b/>
          <w:bCs/>
        </w:rPr>
        <w:t xml:space="preserve">Bearish outcome</w:t>
      </w:r>
    </w:p>
    <w:p>
      <w:pPr>
        <w:pStyle w:val="Compact"/>
        <w:numPr>
          <w:ilvl w:val="0"/>
          <w:numId w:val="1014"/>
        </w:numPr>
      </w:pPr>
      <w:r>
        <w:t xml:space="preserve">EBITDA falls below the first-quarter level;</w:t>
      </w:r>
    </w:p>
    <w:p>
      <w:pPr>
        <w:pStyle w:val="Compact"/>
        <w:numPr>
          <w:ilvl w:val="0"/>
          <w:numId w:val="1014"/>
        </w:numPr>
      </w:pPr>
      <w:r>
        <w:t xml:space="preserve">Guidance is maintained only through assumptions of a steep fourth-quarter ramp;</w:t>
      </w:r>
    </w:p>
    <w:p>
      <w:pPr>
        <w:pStyle w:val="Compact"/>
        <w:numPr>
          <w:ilvl w:val="0"/>
          <w:numId w:val="1014"/>
        </w:numPr>
      </w:pPr>
      <w:r>
        <w:t xml:space="preserve">Throughput growth slows or fee-rate pressure worsens;</w:t>
      </w:r>
    </w:p>
    <w:p>
      <w:pPr>
        <w:pStyle w:val="Compact"/>
        <w:numPr>
          <w:ilvl w:val="0"/>
          <w:numId w:val="1014"/>
        </w:numPr>
      </w:pPr>
      <w:r>
        <w:t xml:space="preserve">Project costs or completion dates slip; or</w:t>
      </w:r>
    </w:p>
    <w:p>
      <w:pPr>
        <w:pStyle w:val="Compact"/>
        <w:numPr>
          <w:ilvl w:val="0"/>
          <w:numId w:val="1014"/>
        </w:numPr>
      </w:pPr>
      <w:r>
        <w:t xml:space="preserve">Debt rises faster than EBITDA, delaying leverage reduction and shareholder returns.</w:t>
      </w:r>
    </w:p>
    <w:p>
      <w:pPr>
        <w:pStyle w:val="FirstParagraph"/>
      </w:pPr>
      <w:r>
        <w:t xml:space="preserve">A guidance reaffirmation should not automatically be treated as disappointing. The current range is $500 million wide, and management may prefer to wait for greater visibility into second-half volumes and commodity markets. However, investors will want to know whether performance is trending toward the</w:t>
      </w:r>
      <w:r>
        <w:t xml:space="preserve"> </w:t>
      </w:r>
      <w:r>
        <w:rPr>
          <w:b/>
          <w:bCs/>
        </w:rPr>
        <w:t xml:space="preserve">midpoint, upper half or lower half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9" w:name="capital-spending-cash-flow-and-leverage"/>
    <w:p>
      <w:pPr>
        <w:pStyle w:val="Heading2"/>
      </w:pPr>
      <w:r>
        <w:t xml:space="preserve">Capital spending, cash flow and leverage</w:t>
      </w:r>
    </w:p>
    <w:p>
      <w:pPr>
        <w:pStyle w:val="FirstParagraph"/>
      </w:pPr>
      <w:r>
        <w:t xml:space="preserve">ONEOK is in the capital-intensive portion of its investment cycle. First-quarter figures illustrate the tension:</w:t>
      </w:r>
    </w:p>
    <w:p>
      <w:pPr>
        <w:pStyle w:val="Compact"/>
        <w:numPr>
          <w:ilvl w:val="0"/>
          <w:numId w:val="1015"/>
        </w:numPr>
      </w:pPr>
      <w:r>
        <w:t xml:space="preserve">Cash from operations:</w:t>
      </w:r>
      <w:r>
        <w:t xml:space="preserve"> </w:t>
      </w:r>
      <w:r>
        <w:rPr>
          <w:b/>
          <w:bCs/>
        </w:rPr>
        <w:t xml:space="preserve">$934 million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t xml:space="preserve">Capital expenditures:</w:t>
      </w:r>
      <w:r>
        <w:t xml:space="preserve"> </w:t>
      </w:r>
      <w:r>
        <w:rPr>
          <w:b/>
          <w:bCs/>
        </w:rPr>
        <w:t xml:space="preserve">$864 million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t xml:space="preserve">Contributions to unconsolidated affiliates:</w:t>
      </w:r>
      <w:r>
        <w:t xml:space="preserve"> </w:t>
      </w:r>
      <w:r>
        <w:rPr>
          <w:b/>
          <w:bCs/>
        </w:rPr>
        <w:t xml:space="preserve">$183 million</w:t>
      </w:r>
      <w:r>
        <w:t xml:space="preserve">; and</w:t>
      </w:r>
    </w:p>
    <w:p>
      <w:pPr>
        <w:pStyle w:val="Compact"/>
        <w:numPr>
          <w:ilvl w:val="0"/>
          <w:numId w:val="1015"/>
        </w:numPr>
      </w:pPr>
      <w:r>
        <w:t xml:space="preserve">Dividends paid:</w:t>
      </w:r>
      <w:r>
        <w:t xml:space="preserve"> </w:t>
      </w:r>
      <w:r>
        <w:rPr>
          <w:b/>
          <w:bCs/>
        </w:rPr>
        <w:t xml:space="preserve">$674 million</w:t>
      </w:r>
      <w:r>
        <w:t xml:space="preserve">.</w:t>
      </w:r>
    </w:p>
    <w:p>
      <w:pPr>
        <w:pStyle w:val="FirstParagraph"/>
      </w:pPr>
      <w:r>
        <w:t xml:space="preserve">Working-capital movements affected reported operating cash flow, but the broader point remains: current investment and dividend requirements exceed internally generated cash after capital spending, resulting in reliance on debt and other financing.</w:t>
      </w:r>
    </w:p>
    <w:p>
      <w:pPr>
        <w:pStyle w:val="BodyText"/>
      </w:pPr>
      <w:r>
        <w:t xml:space="preserve">At March 31, ONEOK had approximately:</w:t>
      </w:r>
    </w:p>
    <w:p>
      <w:pPr>
        <w:pStyle w:val="Compact"/>
        <w:numPr>
          <w:ilvl w:val="0"/>
          <w:numId w:val="1016"/>
        </w:numPr>
      </w:pPr>
      <w:r>
        <w:t xml:space="preserve">$30.8 billion of long-term debt excluding current maturities;</w:t>
      </w:r>
    </w:p>
    <w:p>
      <w:pPr>
        <w:pStyle w:val="Compact"/>
        <w:numPr>
          <w:ilvl w:val="0"/>
          <w:numId w:val="1016"/>
        </w:numPr>
      </w:pPr>
      <w:r>
        <w:t xml:space="preserve">$1.6 billion of short-term borrowings;</w:t>
      </w:r>
    </w:p>
    <w:p>
      <w:pPr>
        <w:pStyle w:val="Compact"/>
        <w:numPr>
          <w:ilvl w:val="0"/>
          <w:numId w:val="1016"/>
        </w:numPr>
      </w:pPr>
      <w:r>
        <w:t xml:space="preserve">$172 million of cash; and</w:t>
      </w:r>
    </w:p>
    <w:p>
      <w:pPr>
        <w:pStyle w:val="Compact"/>
        <w:numPr>
          <w:ilvl w:val="0"/>
          <w:numId w:val="1016"/>
        </w:numPr>
      </w:pPr>
      <w:r>
        <w:t xml:space="preserve">Investment-grade ratings with stable outlooks.</w:t>
      </w:r>
    </w:p>
    <w:p>
      <w:pPr>
        <w:pStyle w:val="FirstParagraph"/>
      </w:pPr>
      <w:r>
        <w:t xml:space="preserve">Management expects the majority of its larger current projects to be completed by mid-2027, after which free cash flow should improve materially. Higher EBITDA could accelerate progress toward leverage targets, but investors should monitor whether capital spending remains within the stated range.</w:t>
      </w:r>
    </w:p>
    <w:bookmarkStart w:id="18" w:name="project-scorecard"/>
    <w:p>
      <w:pPr>
        <w:pStyle w:val="Heading3"/>
      </w:pPr>
      <w:r>
        <w:t xml:space="preserve">Project scorecard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Project</w:t>
            </w:r>
          </w:p>
        </w:tc>
        <w:tc>
          <w:tcPr/>
          <w:p>
            <w:pPr>
              <w:pStyle w:val="Compact"/>
            </w:pPr>
            <w:r>
              <w:t xml:space="preserve">Expected timing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Greater Denver refined-products expansion</w:t>
            </w:r>
          </w:p>
        </w:tc>
        <w:tc>
          <w:tcPr/>
          <w:p>
            <w:pPr>
              <w:pStyle w:val="Compact"/>
            </w:pPr>
            <w:r>
              <w:t xml:space="preserve">Mid-2026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Delaware Basin processing expansions, 110 MMcf/d</w:t>
            </w:r>
          </w:p>
        </w:tc>
        <w:tc>
          <w:tcPr/>
          <w:p>
            <w:pPr>
              <w:pStyle w:val="Compact"/>
            </w:pPr>
            <w:r>
              <w:t xml:space="preserve">Q3 2026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Medford fractionator Phase 1, 100 MBbl/d</w:t>
            </w:r>
          </w:p>
        </w:tc>
        <w:tc>
          <w:tcPr/>
          <w:p>
            <w:pPr>
              <w:pStyle w:val="Compact"/>
            </w:pPr>
            <w:r>
              <w:t xml:space="preserve">Q4 2026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Cutter plant in Powder River Basin, 60 MMcf/d</w:t>
            </w:r>
          </w:p>
        </w:tc>
        <w:tc>
          <w:tcPr/>
          <w:p>
            <w:pPr>
              <w:pStyle w:val="Compact"/>
            </w:pPr>
            <w:r>
              <w:t xml:space="preserve">Q4 2026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Medford Phase 2, 110 MBbl/d</w:t>
            </w:r>
          </w:p>
        </w:tc>
        <w:tc>
          <w:tcPr/>
          <w:p>
            <w:pPr>
              <w:pStyle w:val="Compact"/>
            </w:pPr>
            <w:r>
              <w:t xml:space="preserve">Q1 2027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Bighorn Permian processing plant, 300 MMcf/d</w:t>
            </w:r>
          </w:p>
        </w:tc>
        <w:tc>
          <w:tcPr/>
          <w:p>
            <w:pPr>
              <w:pStyle w:val="Compact"/>
            </w:pPr>
            <w:r>
              <w:t xml:space="preserve">Mid-2027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Texas City LPG terminal and MBTC pipeline</w:t>
            </w:r>
          </w:p>
        </w:tc>
        <w:tc>
          <w:tcPr/>
          <w:p>
            <w:pPr>
              <w:pStyle w:val="Compact"/>
            </w:pPr>
            <w:r>
              <w:t xml:space="preserve">Early 2028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Eiger Express natural-gas pipeline</w:t>
            </w:r>
          </w:p>
        </w:tc>
        <w:tc>
          <w:tcPr/>
          <w:p>
            <w:pPr>
              <w:pStyle w:val="Compact"/>
            </w:pPr>
            <w:r>
              <w:t xml:space="preserve">Mid-2028</w:t>
            </w:r>
          </w:p>
        </w:tc>
      </w:tr>
    </w:tbl>
    <w:p>
      <w:pPr>
        <w:pStyle w:val="BodyText"/>
      </w:pPr>
      <w:r>
        <w:t xml:space="preserve">Any cost inflation or timing slippage would be relevant because ONEOK is simultaneously financing several large projects and targeting lower leverage.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0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OKE closed at</w:t>
      </w:r>
      <w:r>
        <w:t xml:space="preserve"> </w:t>
      </w:r>
      <w:r>
        <w:rPr>
          <w:b/>
          <w:bCs/>
        </w:rPr>
        <w:t xml:space="preserve">$90.83 on July 31</w:t>
      </w:r>
      <w:r>
        <w:t xml:space="preserve">, roughly 1% above its April 28 pre-first-quarter-report close. Over the same period, the Alerian MLP ETF and S&amp;P 500 each gained approximately 5%.</w:t>
      </w:r>
    </w:p>
    <w:p>
      <w:pPr>
        <w:pStyle w:val="BodyText"/>
      </w:pPr>
      <w:r>
        <w:t xml:space="preserve">That relative underperformance suggests expectations are not especially stretched going into the release. At the July 31 price, the $4.28 annualized dividend represents a yield of approximately</w:t>
      </w:r>
      <w:r>
        <w:t xml:space="preserve"> </w:t>
      </w:r>
      <w:r>
        <w:rPr>
          <w:b/>
          <w:bCs/>
        </w:rPr>
        <w:t xml:space="preserve">4.7%</w:t>
      </w:r>
      <w:r>
        <w:t xml:space="preserve">.</w:t>
      </w:r>
    </w:p>
    <w:p>
      <w:pPr>
        <w:pStyle w:val="BodyText"/>
      </w:pPr>
      <w:r>
        <w:t xml:space="preserve">The stock therefore appears more likely to respond to changes in the</w:t>
      </w:r>
      <w:r>
        <w:t xml:space="preserve"> </w:t>
      </w:r>
      <w:r>
        <w:rPr>
          <w:b/>
          <w:bCs/>
        </w:rPr>
        <w:t xml:space="preserve">2026-2027 EBITDA and free-cash-flow trajectory</w:t>
      </w:r>
      <w:r>
        <w:t xml:space="preserve"> </w:t>
      </w:r>
      <w:r>
        <w:t xml:space="preserve">than to a modest EPS beat or miss driven by commodity revenue, impairment charges or other accounting items.</w:t>
      </w:r>
    </w:p>
    <w:p>
      <w:r>
        <w:pict>
          <v:rect style="width:0;height:1.5pt" o:hralign="center" o:hrstd="t" o:hr="t"/>
        </w:pict>
      </w:r>
    </w:p>
    <w:bookmarkEnd w:id="20"/>
    <w:bookmarkStart w:id="21" w:name="questions-investors-should-want-answered"/>
    <w:p>
      <w:pPr>
        <w:pStyle w:val="Heading2"/>
      </w:pPr>
      <w:r>
        <w:t xml:space="preserve">Questions investors should want answered</w:t>
      </w:r>
    </w:p>
    <w:p>
      <w:pPr>
        <w:pStyle w:val="Compact"/>
        <w:numPr>
          <w:ilvl w:val="0"/>
          <w:numId w:val="1017"/>
        </w:numPr>
      </w:pPr>
      <w:r>
        <w:t xml:space="preserve">Is ONEOK now tracking toward the upper half of its</w:t>
      </w:r>
      <w:r>
        <w:t xml:space="preserve"> </w:t>
      </w:r>
      <m:oMath>
        <m:r>
          <m:t>8.0</m:t>
        </m:r>
        <m:r>
          <m:rPr>
            <m:sty m:val="p"/>
          </m:rPr>
          <m:t>−</m:t>
        </m:r>
      </m:oMath>
      <w:r>
        <w:t xml:space="preserve">8.5 billion EBITDA range?</w:t>
      </w:r>
    </w:p>
    <w:p>
      <w:pPr>
        <w:pStyle w:val="Compact"/>
        <w:numPr>
          <w:ilvl w:val="0"/>
          <w:numId w:val="1017"/>
        </w:numPr>
      </w:pPr>
      <w:r>
        <w:t xml:space="preserve">How much second-quarter pipeline EBITDA came from temporary Waha differentials?</w:t>
      </w:r>
    </w:p>
    <w:p>
      <w:pPr>
        <w:pStyle w:val="Compact"/>
        <w:numPr>
          <w:ilvl w:val="0"/>
          <w:numId w:val="1017"/>
        </w:numPr>
      </w:pPr>
      <w:r>
        <w:t xml:space="preserve">Did NGL throughput continue growing despite lower average fee rates?</w:t>
      </w:r>
    </w:p>
    <w:p>
      <w:pPr>
        <w:pStyle w:val="Compact"/>
        <w:numPr>
          <w:ilvl w:val="0"/>
          <w:numId w:val="1017"/>
        </w:numPr>
      </w:pPr>
      <w:r>
        <w:t xml:space="preserve">Have Gathering and Processing margins begun recovering as physical volumes rise?</w:t>
      </w:r>
    </w:p>
    <w:p>
      <w:pPr>
        <w:pStyle w:val="Compact"/>
        <w:numPr>
          <w:ilvl w:val="0"/>
          <w:numId w:val="1017"/>
        </w:numPr>
      </w:pPr>
      <w:r>
        <w:t xml:space="preserve">Did the Greater Denver expansion enter service on time and on budget?</w:t>
      </w:r>
    </w:p>
    <w:p>
      <w:pPr>
        <w:pStyle w:val="Compact"/>
        <w:numPr>
          <w:ilvl w:val="0"/>
          <w:numId w:val="1017"/>
        </w:numPr>
      </w:pPr>
      <w:r>
        <w:t xml:space="preserve">Are Medford, Cutter and the Delaware expansions still on schedule?</w:t>
      </w:r>
    </w:p>
    <w:p>
      <w:pPr>
        <w:pStyle w:val="Compact"/>
        <w:numPr>
          <w:ilvl w:val="0"/>
          <w:numId w:val="1017"/>
        </w:numPr>
      </w:pPr>
      <w:r>
        <w:t xml:space="preserve">When will the LPG export terminal have enough contracts for a final investment decision?</w:t>
      </w:r>
    </w:p>
    <w:p>
      <w:pPr>
        <w:pStyle w:val="Compact"/>
        <w:numPr>
          <w:ilvl w:val="0"/>
          <w:numId w:val="1017"/>
        </w:numPr>
      </w:pPr>
      <w:r>
        <w:t xml:space="preserve">Have any large data-center pipeline opportunities reached binding commercial agreements?</w:t>
      </w:r>
    </w:p>
    <w:p>
      <w:pPr>
        <w:pStyle w:val="Compact"/>
        <w:numPr>
          <w:ilvl w:val="0"/>
          <w:numId w:val="1017"/>
        </w:numPr>
      </w:pPr>
      <w:r>
        <w:t xml:space="preserve">What is the updated leverage trajectory, and when could buybacks become a realistic use of cash?</w:t>
      </w:r>
    </w:p>
    <w:p>
      <w:pPr>
        <w:pStyle w:val="Compact"/>
        <w:numPr>
          <w:ilvl w:val="0"/>
          <w:numId w:val="1017"/>
        </w:numPr>
      </w:pPr>
      <w:r>
        <w:t xml:space="preserve">Is the current</w:t>
      </w:r>
      <w:r>
        <w:t xml:space="preserve"> </w:t>
      </w:r>
      <m:oMath>
        <m:r>
          <m:t>2.7</m:t>
        </m:r>
        <m:r>
          <m:rPr>
            <m:sty m:val="p"/>
          </m:rPr>
          <m:t>−</m:t>
        </m:r>
      </m:oMath>
      <w:r>
        <w:t xml:space="preserve">3.2 billion capital budget sufficient, or are new projects likely to push spending higher?</w:t>
      </w:r>
    </w:p>
    <w:p>
      <w:r>
        <w:pict>
          <v:rect style="width:0;height:1.5pt" o:hralign="center" o:hrstd="t" o:hr="t"/>
        </w:pict>
      </w:r>
    </w:p>
    <w:bookmarkEnd w:id="21"/>
    <w:bookmarkStart w:id="22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setup is constructive but not risk-free. ONEOK has strong physical volume trends, an integrated asset base and a visible project pipeline. Its shares have also lagged both the broader market and midstream benchmark since the last report, limiting the degree of apparent earnings optimism in the price.</w:t>
      </w:r>
    </w:p>
    <w:p>
      <w:pPr>
        <w:pStyle w:val="BodyText"/>
      </w:pPr>
      <w:r>
        <w:t xml:space="preserve">The report will be strongest if it shows that:</w:t>
      </w:r>
    </w:p>
    <w:p>
      <w:pPr>
        <w:pStyle w:val="Compact"/>
        <w:numPr>
          <w:ilvl w:val="0"/>
          <w:numId w:val="1018"/>
        </w:numPr>
      </w:pPr>
      <w:r>
        <w:t xml:space="preserve">Q1’s $2.0 billion EBITDA was indeed the low point;</w:t>
      </w:r>
    </w:p>
    <w:p>
      <w:pPr>
        <w:pStyle w:val="Compact"/>
        <w:numPr>
          <w:ilvl w:val="0"/>
          <w:numId w:val="1018"/>
        </w:numPr>
      </w:pPr>
      <w:r>
        <w:t xml:space="preserve">Growth is coming from throughput and fee-based services, not primarily transient optimization;</w:t>
      </w:r>
    </w:p>
    <w:p>
      <w:pPr>
        <w:pStyle w:val="Compact"/>
        <w:numPr>
          <w:ilvl w:val="0"/>
          <w:numId w:val="1018"/>
        </w:numPr>
      </w:pPr>
      <w:r>
        <w:t xml:space="preserve">Full-year guidance has upside or at least a clear path to the upper half;</w:t>
      </w:r>
    </w:p>
    <w:p>
      <w:pPr>
        <w:pStyle w:val="Compact"/>
        <w:numPr>
          <w:ilvl w:val="0"/>
          <w:numId w:val="1018"/>
        </w:numPr>
      </w:pPr>
      <w:r>
        <w:t xml:space="preserve">Major projects remain on schedule and within budget; and</w:t>
      </w:r>
    </w:p>
    <w:p>
      <w:pPr>
        <w:pStyle w:val="Compact"/>
        <w:numPr>
          <w:ilvl w:val="0"/>
          <w:numId w:val="1018"/>
        </w:numPr>
      </w:pPr>
      <w:r>
        <w:t xml:space="preserve">EBITDA growth is beginning to outpace debt and capital requirements.</w:t>
      </w:r>
    </w:p>
    <w:p>
      <w:pPr>
        <w:pStyle w:val="FirstParagraph"/>
      </w:pPr>
      <w:r>
        <w:t xml:space="preserve">The most important number may not be reported EPS. It will be the combination of</w:t>
      </w:r>
      <w:r>
        <w:t xml:space="preserve"> </w:t>
      </w:r>
      <w:r>
        <w:rPr>
          <w:b/>
          <w:bCs/>
        </w:rPr>
        <w:t xml:space="preserve">adjusted EBITDA, segment volumes, guidance positioning and the credibility of the second-half ramp</w:t>
      </w:r>
      <w:r>
        <w:t xml:space="preserve">.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2026-08-03T00:28:59Z</dcterms:created>
  <dcterms:modified xsi:type="dcterms:W3CDTF">2026-08-03T00:28:59Z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