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oke-earnings-predictions--2026-08-03"/>
    <w:p>
      <w:pPr>
        <w:pStyle w:val="Heading1"/>
      </w:pPr>
      <w:r>
        <w:t xml:space="preserve">OKE Earnings Predictions — 2026-08-03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Ticker</w:t>
            </w:r>
          </w:p>
        </w:tc>
        <w:tc>
          <w:tcPr/>
          <w:p>
            <w:pPr>
              <w:pStyle w:val="Compact"/>
            </w:pPr>
            <w:r>
              <w:t xml:space="preserve">Report or Guide</w:t>
            </w:r>
          </w:p>
        </w:tc>
        <w:tc>
          <w:tcPr/>
          <w:p>
            <w:pPr>
              <w:pStyle w:val="Compact"/>
            </w:pPr>
            <w:r>
              <w:t xml:space="preserve">KPI</w:t>
            </w:r>
          </w:p>
        </w:tc>
        <w:tc>
          <w:tcPr/>
          <w:p>
            <w:pPr>
              <w:pStyle w:val="Compact"/>
            </w:pPr>
            <w:r>
              <w:t xml:space="preserve">Prediction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Confidence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OKE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Diluted EPS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~$1.50 vs. cons $1.46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OKE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Adjusted EBITDA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~$2.11B vs. cons $2.08B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OKE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Natural Gas Pipelines adjusted EBITDA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~$0.36B vs. cons $0.35B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OKE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2026 adjusted EBITDA guidance</w:t>
            </w:r>
          </w:p>
        </w:tc>
        <w:tc>
          <w:tcPr/>
          <w:p>
            <w:pPr>
              <w:pStyle w:val="Compact"/>
            </w:pPr>
            <w:r>
              <w:t xml:space="preserve">LOWER</w:t>
            </w:r>
          </w:p>
        </w:tc>
        <w:tc>
          <w:tcPr/>
          <w:p>
            <w:pPr>
              <w:pStyle w:val="Compact"/>
            </w:pPr>
            <w:r>
              <w:t xml:space="preserve">guide ~$8.25B vs. cons $8.33B (FY2026)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OKE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2026 diluted EPS guidance</w:t>
            </w:r>
          </w:p>
        </w:tc>
        <w:tc>
          <w:tcPr/>
          <w:p>
            <w:pPr>
              <w:pStyle w:val="Compact"/>
            </w:pPr>
            <w:r>
              <w:t xml:space="preserve">LOWER</w:t>
            </w:r>
          </w:p>
        </w:tc>
        <w:tc>
          <w:tcPr/>
          <w:p>
            <w:pPr>
              <w:pStyle w:val="Compact"/>
            </w:pPr>
            <w:r>
              <w:t xml:space="preserve">guide ~$5.53 vs. cons $5.64 (FY2026)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OKE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2026 capital-expenditure guidance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~$2.95B vs. cons $2.95B (FY2026)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OKE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Day-1 residual (stock − beta × S&amp;P 500)</w:t>
            </w:r>
          </w:p>
        </w:tc>
        <w:tc>
          <w:tcPr/>
          <w:p>
            <w:pPr>
              <w:pStyle w:val="Compact"/>
            </w:pPr>
            <w:r>
              <w:t xml:space="preserve">+1.5%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OKE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5-day cumulative residual</w:t>
            </w:r>
          </w:p>
        </w:tc>
        <w:tc>
          <w:tcPr/>
          <w:p>
            <w:pPr>
              <w:pStyle w:val="Compact"/>
            </w:pPr>
            <w:r>
              <w:t xml:space="preserve">+0.5% (FADE)</w:t>
            </w:r>
          </w:p>
        </w:tc>
        <w:tc>
          <w:tcPr/>
          <w:p>
            <w:pPr>
              <w:pStyle w:val="Compact"/>
            </w:pPr>
            <w:r>
              <w:t xml:space="preserve">Day-1 residual ~+1.5% vs. 0.0% baseline; 5-day residual ~+0.5% vs. 0.0% baseline. A modest EBITDA/EPS beat should initially reward sustained Waha-to-Katy optimization and broad volumes, but unchanged</w:t>
            </w:r>
            <w:r>
              <w:t xml:space="preserve"> </w:t>
            </w:r>
            <m:oMath>
              <m:r>
                <m:t>8.25</m:t>
              </m:r>
              <m:r>
                <m:t>B</m:t>
              </m:r>
              <m:r>
                <m:t>F</m:t>
              </m:r>
              <m:r>
                <m:t>Y</m:t>
              </m:r>
              <m:r>
                <m:t>2026</m:t>
              </m:r>
              <m:r>
                <m:t>E</m:t>
              </m:r>
              <m:r>
                <m:t>B</m:t>
              </m:r>
              <m:r>
                <m:t>I</m:t>
              </m:r>
              <m:r>
                <m:t>T</m:t>
              </m:r>
              <m:r>
                <m:t>D</m:t>
              </m:r>
              <m:r>
                <m:t>A</m:t>
              </m:r>
              <m:r>
                <m:t>g</m:t>
              </m:r>
              <m:r>
                <m:t>u</m:t>
              </m:r>
              <m:r>
                <m:t>i</m:t>
              </m:r>
              <m:r>
                <m:t>d</m:t>
              </m:r>
              <m:r>
                <m:t>a</m:t>
              </m:r>
              <m:r>
                <m:t>n</m:t>
              </m:r>
              <m:r>
                <m:t>c</m:t>
              </m:r>
              <m:r>
                <m:t>e</m:t>
              </m:r>
              <m:r>
                <m:t>v</m:t>
              </m:r>
              <m:r>
                <m:t>e</m:t>
              </m:r>
              <m:r>
                <m:t>r</m:t>
              </m:r>
              <m:r>
                <m:t>s</m:t>
              </m:r>
              <m:r>
                <m:t>u</m:t>
              </m:r>
              <m:r>
                <m:t>s</m:t>
              </m:r>
              <m:r>
                <m:t> </m:t>
              </m:r>
            </m:oMath>
            <w:r>
              <w:t xml:space="preserve">8.33B consensus leaves out-period estimates vulnerable as investors continue to discount temporary spread earnings and normalize second-half pipeline optimization.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2026-08-03T00:28:03Z</dcterms:created>
  <dcterms:modified xsi:type="dcterms:W3CDTF">2026-08-03T00:28:03Z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