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oneok-nyse-oke--2q26-earnings-preview"/>
    <w:p>
      <w:pPr>
        <w:pStyle w:val="Heading1"/>
      </w:pPr>
      <w:r>
        <w:t xml:space="preserve">ONEOK (NYSE: OKE) — 2Q26 Earnings Preview</w:t>
      </w:r>
    </w:p>
    <w:p>
      <w:pPr>
        <w:pStyle w:val="BlockText"/>
      </w:pPr>
      <w:r>
        <w:rPr>
          <w:b/>
          <w:bCs/>
        </w:rPr>
        <w:t xml:space="preserve">Timing correction:</w:t>
      </w:r>
      <w:r>
        <w:t xml:space="preserve"> </w:t>
      </w:r>
      <w:r>
        <w:t xml:space="preserve">ONEOK is scheduled to</w:t>
      </w:r>
      <w:r>
        <w:t xml:space="preserve"> </w:t>
      </w:r>
      <w:r>
        <w:rPr>
          <w:b/>
          <w:bCs/>
        </w:rPr>
        <w:t xml:space="preserve">release 2Q26 earnings after the market close today, Monday, August 3, 2026</w:t>
      </w:r>
      <w:r>
        <w:t xml:space="preserve">. The</w:t>
      </w:r>
      <w:r>
        <w:t xml:space="preserve"> </w:t>
      </w:r>
      <w:r>
        <w:rPr>
          <w:b/>
          <w:bCs/>
        </w:rPr>
        <w:t xml:space="preserve">earnings call is tomorrow, Tuesday, August 4, at 11:00 a.m. ET</w:t>
      </w:r>
      <w:r>
        <w:t xml:space="preserve">.</w:t>
      </w:r>
    </w:p>
    <w:bookmarkStart w:id="9" w:name="X063991a8625c13e59fec762882aa507385b6178"/>
    <w:p>
      <w:pPr>
        <w:pStyle w:val="Heading2"/>
      </w:pPr>
      <w:r>
        <w:t xml:space="preserve">Investment setup: the report needs to validate a stronger second half</w:t>
      </w:r>
    </w:p>
    <w:p>
      <w:pPr>
        <w:pStyle w:val="FirstParagraph"/>
      </w:pPr>
      <w:r>
        <w:t xml:space="preserve">ONEOK enters 2Q with momentum after raising its 2026 outlook following 1Q results. The central question is not simply whether it beats quarterly estimates, but whether the company can demonstrate that the raised full-year outlook remains conservative amid improving volumes, continued commercial optimization, and a favorable backdrop for its integrated natural-gas, NGL, refined-products, and crude platforms.</w:t>
      </w:r>
    </w:p>
    <w:p>
      <w:pPr>
        <w:pStyle w:val="BodyText"/>
      </w:pPr>
      <w:r>
        <w:t xml:space="preserve">Management characterized</w:t>
      </w:r>
      <w:r>
        <w:t xml:space="preserve"> </w:t>
      </w:r>
      <w:r>
        <w:rPr>
          <w:b/>
          <w:bCs/>
        </w:rPr>
        <w:t xml:space="preserve">1Q as its lowest adjusted-EBITDA quarter of 2026</w:t>
      </w:r>
      <w:r>
        <w:t xml:space="preserve">. That makes 2Q an important proof point for the expected earnings ramp, particularly because some 1Q upside was tied to optimization opportunities that may not recur at the same level.</w:t>
      </w:r>
    </w:p>
    <w:p>
      <w:pPr>
        <w:pStyle w:val="BodyText"/>
      </w:pPr>
      <w:r>
        <w:rPr>
          <w:b/>
          <w:bCs/>
        </w:rPr>
        <w:t xml:space="preserve">My read:</w:t>
      </w:r>
      <w:r>
        <w:t xml:space="preserve"> </w:t>
      </w:r>
      <w:r>
        <w:t xml:space="preserve">the fundamental setup is constructive, but the bar is meaningfully higher after the April guidance increase. Investors should focus most closely on the durability and composition of EBITDA—not merely the headline EPS result.</w:t>
      </w:r>
    </w:p>
    <w:p>
      <w:r>
        <w:pict>
          <v:rect style="width:0;height:1.5pt" o:hralign="center" o:hrstd="t" o:hr="t"/>
        </w:pict>
      </w:r>
    </w:p>
    <w:bookmarkEnd w:id="9"/>
    <w:bookmarkStart w:id="10" w:name="the-scorecard-going-into-earnings"/>
    <w:p>
      <w:pPr>
        <w:pStyle w:val="Heading2"/>
      </w:pPr>
      <w:r>
        <w:t xml:space="preserve">The scorecard going into earnings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1Q26 actual</w:t>
            </w:r>
          </w:p>
        </w:tc>
        <w:tc>
          <w:tcPr/>
          <w:p>
            <w:pPr>
              <w:pStyle w:val="Compact"/>
              <w:jc w:val="right"/>
            </w:pPr>
            <w:r>
              <w:t xml:space="preserve">2Q25 actual</w:t>
            </w:r>
          </w:p>
        </w:tc>
        <w:tc>
          <w:tcPr/>
          <w:p>
            <w:pPr>
              <w:pStyle w:val="Compact"/>
            </w:pPr>
            <w:r>
              <w:t xml:space="preserve">What matters in 2Q26</w:t>
            </w:r>
          </w:p>
        </w:tc>
      </w:tr>
      <w:tr>
        <w:tc>
          <w:tcPr/>
          <w:p>
            <w:pPr>
              <w:pStyle w:val="Compact"/>
            </w:pPr>
            <w:r>
              <w:t xml:space="preserve">Net income attributable to ONEOK</w:t>
            </w:r>
          </w:p>
        </w:tc>
        <w:tc>
          <w:tcPr/>
          <w:p>
            <w:pPr>
              <w:pStyle w:val="Compact"/>
              <w:jc w:val="right"/>
            </w:pPr>
            <w:r>
              <w:rPr>
                <w:b/>
                <w:bCs/>
              </w:rPr>
              <w:t xml:space="preserve">$774M</w:t>
            </w:r>
          </w:p>
        </w:tc>
        <w:tc>
          <w:tcPr/>
          <w:p>
            <w:pPr>
              <w:pStyle w:val="Compact"/>
              <w:jc w:val="right"/>
            </w:pPr>
            <w:r>
              <w:rPr>
                <w:b/>
                <w:bCs/>
              </w:rPr>
              <w:t xml:space="preserve">$841M</w:t>
            </w:r>
          </w:p>
        </w:tc>
        <w:tc>
          <w:tcPr/>
          <w:p>
            <w:pPr>
              <w:pStyle w:val="Compact"/>
            </w:pPr>
            <w:r>
              <w:t xml:space="preserve">GAAP earnings can be affected by hedging, impairment items, taxes, and interest expense.</w:t>
            </w:r>
          </w:p>
        </w:tc>
      </w:tr>
      <w:tr>
        <w:tc>
          <w:tcPr/>
          <w:p>
            <w:pPr>
              <w:pStyle w:val="Compact"/>
            </w:pPr>
            <w:r>
              <w:t xml:space="preserve">Diluted EPS</w:t>
            </w:r>
          </w:p>
        </w:tc>
        <w:tc>
          <w:tcPr/>
          <w:p>
            <w:pPr>
              <w:pStyle w:val="Compact"/>
              <w:jc w:val="right"/>
            </w:pPr>
            <w:r>
              <w:rPr>
                <w:b/>
                <w:bCs/>
              </w:rPr>
              <w:t xml:space="preserve">$1.23</w:t>
            </w:r>
          </w:p>
        </w:tc>
        <w:tc>
          <w:tcPr/>
          <w:p>
            <w:pPr>
              <w:pStyle w:val="Compact"/>
              <w:jc w:val="right"/>
            </w:pPr>
            <w:r>
              <w:rPr>
                <w:b/>
                <w:bCs/>
              </w:rPr>
              <w:t xml:space="preserve">$1.34</w:t>
            </w:r>
          </w:p>
        </w:tc>
        <w:tc>
          <w:tcPr/>
          <w:p>
            <w:pPr>
              <w:pStyle w:val="Compact"/>
            </w:pPr>
            <w:r>
              <w:t xml:space="preserve">Look through one-time items; 1Q included a $0.07/share after-tax noncash JV impairment.</w:t>
            </w:r>
          </w:p>
        </w:tc>
      </w:tr>
      <w:tr>
        <w:tc>
          <w:tcPr/>
          <w:p>
            <w:pPr>
              <w:pStyle w:val="Compact"/>
            </w:pPr>
            <w:r>
              <w:t xml:space="preserve">Adjusted EBITDA</w:t>
            </w:r>
          </w:p>
        </w:tc>
        <w:tc>
          <w:tcPr/>
          <w:p>
            <w:pPr>
              <w:pStyle w:val="Compact"/>
              <w:jc w:val="right"/>
            </w:pPr>
            <w:r>
              <w:rPr>
                <w:b/>
                <w:bCs/>
              </w:rPr>
              <w:t xml:space="preserve">$2.00B</w:t>
            </w:r>
          </w:p>
        </w:tc>
        <w:tc>
          <w:tcPr/>
          <w:p>
            <w:pPr>
              <w:pStyle w:val="Compact"/>
              <w:jc w:val="right"/>
            </w:pPr>
            <w:r>
              <w:rPr>
                <w:b/>
                <w:bCs/>
              </w:rPr>
              <w:t xml:space="preserve">$1.98B</w:t>
            </w:r>
          </w:p>
        </w:tc>
        <w:tc>
          <w:tcPr/>
          <w:p>
            <w:pPr>
              <w:pStyle w:val="Compact"/>
            </w:pPr>
            <w:r>
              <w:t xml:space="preserve">Most important headline measure and the key test of the 2026 guide.</w:t>
            </w:r>
          </w:p>
        </w:tc>
      </w:tr>
      <w:tr>
        <w:tc>
          <w:tcPr/>
          <w:p>
            <w:pPr>
              <w:pStyle w:val="Compact"/>
            </w:pPr>
            <w:r>
              <w:t xml:space="preserve">2026 adjusted EBITDA guidance</w:t>
            </w:r>
          </w:p>
        </w:tc>
        <w:tc>
          <w:tcPr/>
          <w:p>
            <w:pPr>
              <w:pStyle w:val="Compact"/>
              <w:jc w:val="right"/>
            </w:pPr>
            <m:oMath>
              <m:r>
                <m:t>8.0</m:t>
              </m:r>
              <m:r>
                <m:t>B</m:t>
              </m:r>
              <m:r>
                <m:rPr>
                  <m:sty m:val="p"/>
                </m:rPr>
                <m:t>–</m:t>
              </m:r>
            </m:oMath>
            <w:r>
              <w:rPr>
                <w:b/>
                <w:bCs/>
              </w:rPr>
              <w:t xml:space="preserve">8.5B</w:t>
            </w:r>
          </w:p>
        </w:tc>
        <w:tc>
          <w:tcPr/>
          <w:p>
            <w:pPr>
              <w:pStyle w:val="Compact"/>
              <w:jc w:val="right"/>
            </w:pPr>
            <w:r>
              <w:t xml:space="preserve">—</w:t>
            </w:r>
          </w:p>
        </w:tc>
        <w:tc>
          <w:tcPr/>
          <w:p>
            <w:pPr>
              <w:pStyle w:val="Compact"/>
            </w:pPr>
            <w:r>
              <w:t xml:space="preserve">Raised in April; midpoint is</w:t>
            </w:r>
            <w:r>
              <w:t xml:space="preserve"> </w:t>
            </w:r>
            <w:r>
              <w:rPr>
                <w:b/>
                <w:bCs/>
              </w:rPr>
              <w:t xml:space="preserve">$8.25B</w:t>
            </w:r>
            <w:r>
              <w:t xml:space="preserve">.</w:t>
            </w:r>
          </w:p>
        </w:tc>
      </w:tr>
      <w:tr>
        <w:tc>
          <w:tcPr/>
          <w:p>
            <w:pPr>
              <w:pStyle w:val="Compact"/>
            </w:pPr>
            <w:r>
              <w:t xml:space="preserve">2026 capex guidance</w:t>
            </w:r>
          </w:p>
        </w:tc>
        <w:tc>
          <w:tcPr/>
          <w:p>
            <w:pPr>
              <w:pStyle w:val="Compact"/>
              <w:jc w:val="right"/>
            </w:pPr>
            <m:oMath>
              <m:r>
                <m:t>2.7</m:t>
              </m:r>
              <m:r>
                <m:t>B</m:t>
              </m:r>
              <m:r>
                <m:rPr>
                  <m:sty m:val="p"/>
                </m:rPr>
                <m:t>–</m:t>
              </m:r>
            </m:oMath>
            <w:r>
              <w:rPr>
                <w:b/>
                <w:bCs/>
              </w:rPr>
              <w:t xml:space="preserve">3.2B</w:t>
            </w:r>
          </w:p>
        </w:tc>
        <w:tc>
          <w:tcPr/>
          <w:p>
            <w:pPr>
              <w:pStyle w:val="Compact"/>
              <w:jc w:val="right"/>
            </w:pPr>
            <w:r>
              <w:t xml:space="preserve">—</w:t>
            </w:r>
          </w:p>
        </w:tc>
        <w:tc>
          <w:tcPr/>
          <w:p>
            <w:pPr>
              <w:pStyle w:val="Compact"/>
            </w:pPr>
            <w:r>
              <w:t xml:space="preserve">Project timing, spend discipline, and return profile are critical.</w:t>
            </w:r>
          </w:p>
        </w:tc>
      </w:tr>
    </w:tbl>
    <w:p>
      <w:pPr>
        <w:pStyle w:val="BodyText"/>
      </w:pPr>
      <w:r>
        <w:t xml:space="preserve">At the</w:t>
      </w:r>
      <w:r>
        <w:t xml:space="preserve"> </w:t>
      </w:r>
      <m:oMath>
        <m:r>
          <m:t>8.25</m:t>
        </m:r>
        <m:r>
          <m:t>b</m:t>
        </m:r>
        <m:r>
          <m:t>i</m:t>
        </m:r>
        <m:r>
          <m:t>l</m:t>
        </m:r>
        <m:r>
          <m:t>l</m:t>
        </m:r>
        <m:r>
          <m:t>i</m:t>
        </m:r>
        <m:r>
          <m:t>o</m:t>
        </m:r>
        <m:r>
          <m:t>n</m:t>
        </m:r>
        <m:r>
          <m:t>E</m:t>
        </m:r>
        <m:r>
          <m:t>B</m:t>
        </m:r>
        <m:r>
          <m:t>I</m:t>
        </m:r>
        <m:r>
          <m:t>T</m:t>
        </m:r>
        <m:r>
          <m:t>D</m:t>
        </m:r>
        <m:r>
          <m:t>A</m:t>
        </m:r>
        <m:r>
          <m:t>m</m:t>
        </m:r>
        <m:r>
          <m:t>i</m:t>
        </m:r>
        <m:r>
          <m:t>d</m:t>
        </m:r>
        <m:r>
          <m:t>p</m:t>
        </m:r>
        <m:r>
          <m:t>o</m:t>
        </m:r>
        <m:r>
          <m:t>i</m:t>
        </m:r>
        <m:r>
          <m:t>n</m:t>
        </m:r>
        <m:r>
          <m:t>t</m:t>
        </m:r>
        <m:r>
          <m:rPr>
            <m:sty m:val="p"/>
          </m:rPr>
          <m:t>,</m:t>
        </m:r>
        <m:r>
          <m:t>O</m:t>
        </m:r>
        <m:r>
          <m:t>N</m:t>
        </m:r>
        <m:r>
          <m:t>E</m:t>
        </m:r>
        <m:r>
          <m:t>O</m:t>
        </m:r>
        <m:r>
          <m:t>K</m:t>
        </m:r>
        <m:r>
          <m:t>n</m:t>
        </m:r>
        <m:r>
          <m:t>e</m:t>
        </m:r>
        <m:r>
          <m:t>e</m:t>
        </m:r>
        <m:r>
          <m:t>d</m:t>
        </m:r>
        <m:r>
          <m:t>s</m:t>
        </m:r>
        <m:r>
          <m:t>r</m:t>
        </m:r>
        <m:r>
          <m:t>o</m:t>
        </m:r>
        <m:r>
          <m:t>u</m:t>
        </m:r>
        <m:r>
          <m:t>g</m:t>
        </m:r>
        <m:r>
          <m:t>h</m:t>
        </m:r>
        <m:r>
          <m:t>l</m:t>
        </m:r>
        <m:r>
          <m:t>y</m:t>
        </m:r>
        <m:r>
          <m:rPr>
            <m:sty m:val="p"/>
          </m:rPr>
          <m:t>*</m:t>
        </m:r>
        <m:r>
          <m:rPr>
            <m:sty m:val="p"/>
          </m:rPr>
          <m:t>*</m:t>
        </m:r>
      </m:oMath>
      <w:r>
        <w:t xml:space="preserve">6.25 billion across 2Q–4Q**, or about</w:t>
      </w:r>
      <w:r>
        <w:t xml:space="preserve"> </w:t>
      </w:r>
      <w:r>
        <w:rPr>
          <w:b/>
          <w:bCs/>
        </w:rPr>
        <w:t xml:space="preserve">$2.08 billion per quarter on average</w:t>
      </w:r>
      <w:r>
        <w:t xml:space="preserve">, after delivering $2.00 billion in 1Q. That is achievable if volume momentum and optimization persist, but it leaves less room for a material slowdown in producer activity, market spreads, or project execution.</w:t>
      </w:r>
    </w:p>
    <w:p>
      <w:r>
        <w:pict>
          <v:rect style="width:0;height:1.5pt" o:hralign="center" o:hrstd="t" o:hr="t"/>
        </w:pict>
      </w:r>
    </w:p>
    <w:bookmarkEnd w:id="10"/>
    <w:bookmarkStart w:id="15" w:name="why-the-quarter-could-be-strong"/>
    <w:p>
      <w:pPr>
        <w:pStyle w:val="Heading2"/>
      </w:pPr>
      <w:r>
        <w:t xml:space="preserve">Why the quarter could be strong</w:t>
      </w:r>
    </w:p>
    <w:bookmarkStart w:id="11" w:name="Xc4b6e981f953395ebcaad779ae3161ac7634427"/>
    <w:p>
      <w:pPr>
        <w:pStyle w:val="Heading3"/>
      </w:pPr>
      <w:r>
        <w:t xml:space="preserve">1. Volume growth should be the foundation</w:t>
      </w:r>
    </w:p>
    <w:p>
      <w:pPr>
        <w:pStyle w:val="FirstParagraph"/>
      </w:pPr>
      <w:r>
        <w:t xml:space="preserve">ONEOK reported broad 1Q throughput growth:</w:t>
      </w:r>
    </w:p>
    <w:p>
      <w:pPr>
        <w:pStyle w:val="Compact"/>
        <w:numPr>
          <w:ilvl w:val="0"/>
          <w:numId w:val="1001"/>
        </w:numPr>
      </w:pPr>
      <w:r>
        <w:rPr>
          <w:b/>
          <w:bCs/>
        </w:rPr>
        <w:t xml:space="preserve">NGL raw-feed throughput:</w:t>
      </w:r>
      <w:r>
        <w:t xml:space="preserve"> </w:t>
      </w:r>
      <w:r>
        <w:t xml:space="preserve">+15% year over year.</w:t>
      </w:r>
    </w:p>
    <w:p>
      <w:pPr>
        <w:pStyle w:val="Compact"/>
        <w:numPr>
          <w:ilvl w:val="0"/>
          <w:numId w:val="1001"/>
        </w:numPr>
      </w:pPr>
      <w:r>
        <w:rPr>
          <w:b/>
          <w:bCs/>
        </w:rPr>
        <w:t xml:space="preserve">Refined-products shipments:</w:t>
      </w:r>
      <w:r>
        <w:t xml:space="preserve"> </w:t>
      </w:r>
      <w:r>
        <w:t xml:space="preserve">+12%.</w:t>
      </w:r>
    </w:p>
    <w:p>
      <w:pPr>
        <w:pStyle w:val="Compact"/>
        <w:numPr>
          <w:ilvl w:val="0"/>
          <w:numId w:val="1001"/>
        </w:numPr>
      </w:pPr>
      <w:r>
        <w:rPr>
          <w:b/>
          <w:bCs/>
        </w:rPr>
        <w:t xml:space="preserve">Natural-gas processing volumes:</w:t>
      </w:r>
      <w:r>
        <w:t xml:space="preserve"> </w:t>
      </w:r>
      <w:r>
        <w:t xml:space="preserve">+5%.</w:t>
      </w:r>
    </w:p>
    <w:p>
      <w:pPr>
        <w:pStyle w:val="Compact"/>
        <w:numPr>
          <w:ilvl w:val="0"/>
          <w:numId w:val="1001"/>
        </w:numPr>
      </w:pPr>
      <w:r>
        <w:rPr>
          <w:b/>
          <w:bCs/>
        </w:rPr>
        <w:t xml:space="preserve">Natural-gas transportation contracted capacity:</w:t>
      </w:r>
      <w:r>
        <w:t xml:space="preserve"> </w:t>
      </w:r>
      <w:r>
        <w:t xml:space="preserve">93%, versus 91% a year earlier.</w:t>
      </w:r>
    </w:p>
    <w:p>
      <w:pPr>
        <w:pStyle w:val="FirstParagraph"/>
      </w:pPr>
      <w:r>
        <w:t xml:space="preserve">The key positive is that the company’s growth was not confined to a single basin or segment. In particular, the Gulf Coast/Permian NGL system, Mid-Continent gathering footprint, and refined-products system all showed healthy activity.</w:t>
      </w:r>
    </w:p>
    <w:p>
      <w:pPr>
        <w:pStyle w:val="BodyText"/>
      </w:pPr>
      <w:r>
        <w:t xml:space="preserve">For 2Q, investors should expect management to address whether higher completion activity, improved operating conditions after winter disruptions, and continued Permian growth translated into a further step-up in physical volumes.</w:t>
      </w:r>
    </w:p>
    <w:bookmarkEnd w:id="11"/>
    <w:bookmarkStart w:id="12" w:name="X12eea7c11534998b3d288cd557f0f5c1f007fa6"/>
    <w:p>
      <w:pPr>
        <w:pStyle w:val="Heading3"/>
      </w:pPr>
      <w:r>
        <w:t xml:space="preserve">2. Natural Gas Pipelines could remain above baseline</w:t>
      </w:r>
    </w:p>
    <w:p>
      <w:pPr>
        <w:pStyle w:val="FirstParagraph"/>
      </w:pPr>
      <w:r>
        <w:t xml:space="preserve">The Natural Gas Pipelines segment delivered</w:t>
      </w:r>
      <w:r>
        <w:t xml:space="preserve"> </w:t>
      </w:r>
      <m:oMath>
        <m:r>
          <m:t>339</m:t>
        </m:r>
        <m:r>
          <m:t>m</m:t>
        </m:r>
        <m:r>
          <m:t>i</m:t>
        </m:r>
        <m:r>
          <m:t>l</m:t>
        </m:r>
        <m:r>
          <m:t>l</m:t>
        </m:r>
        <m:r>
          <m:t>i</m:t>
        </m:r>
        <m:r>
          <m:t>o</m:t>
        </m:r>
        <m:r>
          <m:t>n</m:t>
        </m:r>
        <m:r>
          <m:t>o</m:t>
        </m:r>
        <m:r>
          <m:t>f</m:t>
        </m:r>
        <m:r>
          <m:t>1</m:t>
        </m:r>
        <m:r>
          <m:t>Q</m:t>
        </m:r>
        <m:r>
          <m:t>a</m:t>
        </m:r>
        <m:r>
          <m:t>d</m:t>
        </m:r>
        <m:r>
          <m:t>j</m:t>
        </m:r>
        <m:r>
          <m:t>u</m:t>
        </m:r>
        <m:r>
          <m:t>s</m:t>
        </m:r>
        <m:r>
          <m:t>t</m:t>
        </m:r>
        <m:r>
          <m:t>e</m:t>
        </m:r>
        <m:r>
          <m:t>d</m:t>
        </m:r>
        <m:r>
          <m:t>E</m:t>
        </m:r>
        <m:r>
          <m:t>B</m:t>
        </m:r>
        <m:r>
          <m:t>I</m:t>
        </m:r>
        <m:r>
          <m:t>T</m:t>
        </m:r>
        <m:r>
          <m:t>D</m:t>
        </m:r>
        <m:r>
          <m:t>A</m:t>
        </m:r>
        <m:r>
          <m:rPr>
            <m:sty m:val="p"/>
          </m:rPr>
          <m:t>*</m:t>
        </m:r>
        <m:r>
          <m:rPr>
            <m:sty m:val="p"/>
          </m:rPr>
          <m:t>*</m:t>
        </m:r>
        <m:r>
          <m:rPr>
            <m:sty m:val="p"/>
          </m:rPr>
          <m:t>,</m:t>
        </m:r>
        <m:r>
          <m:t>u</m:t>
        </m:r>
        <m:r>
          <m:t>p</m:t>
        </m:r>
        <m:r>
          <m:t>f</m:t>
        </m:r>
        <m:r>
          <m:t>r</m:t>
        </m:r>
        <m:r>
          <m:t>o</m:t>
        </m:r>
        <m:r>
          <m:t>m</m:t>
        </m:r>
        <m:r>
          <m:rPr>
            <m:sty m:val="p"/>
          </m:rPr>
          <m:t>*</m:t>
        </m:r>
        <m:r>
          <m:rPr>
            <m:sty m:val="p"/>
          </m:rPr>
          <m:t>*</m:t>
        </m:r>
      </m:oMath>
      <w:r>
        <w:rPr>
          <w:b/>
          <w:bCs/>
        </w:rPr>
        <w:t xml:space="preserve">212 million</w:t>
      </w:r>
      <w:r>
        <w:t xml:space="preserve"> </w:t>
      </w:r>
      <w:r>
        <w:t xml:space="preserve">in the prior-year quarter. The increase reflected:</w:t>
      </w:r>
    </w:p>
    <w:p>
      <w:pPr>
        <w:pStyle w:val="Compact"/>
        <w:numPr>
          <w:ilvl w:val="0"/>
          <w:numId w:val="1002"/>
        </w:numPr>
      </w:pPr>
      <w:r>
        <w:t xml:space="preserve">Favorable</w:t>
      </w:r>
      <w:r>
        <w:t xml:space="preserve"> </w:t>
      </w:r>
      <w:r>
        <w:rPr>
          <w:b/>
          <w:bCs/>
        </w:rPr>
        <w:t xml:space="preserve">Waha-to-Katy price differentials</w:t>
      </w:r>
      <w:r>
        <w:t xml:space="preserve">;</w:t>
      </w:r>
    </w:p>
    <w:p>
      <w:pPr>
        <w:pStyle w:val="Compact"/>
        <w:numPr>
          <w:ilvl w:val="0"/>
          <w:numId w:val="1002"/>
        </w:numPr>
      </w:pPr>
      <w:r>
        <w:t xml:space="preserve">Higher firm transportation revenue;</w:t>
      </w:r>
    </w:p>
    <w:p>
      <w:pPr>
        <w:pStyle w:val="Compact"/>
        <w:numPr>
          <w:ilvl w:val="0"/>
          <w:numId w:val="1002"/>
        </w:numPr>
      </w:pPr>
      <w:r>
        <w:t xml:space="preserve">Incremental optimization and marketing opportunities;</w:t>
      </w:r>
    </w:p>
    <w:p>
      <w:pPr>
        <w:pStyle w:val="Compact"/>
        <w:numPr>
          <w:ilvl w:val="0"/>
          <w:numId w:val="1002"/>
        </w:numPr>
      </w:pPr>
      <w:r>
        <w:t xml:space="preserve">Winter Storm Fern-related benefits in Louisiana.</w:t>
      </w:r>
    </w:p>
    <w:p>
      <w:pPr>
        <w:pStyle w:val="FirstParagraph"/>
      </w:pPr>
      <w:r>
        <w:t xml:space="preserve">Management said Waha-to-Katy spreads were expected to remain supportive through 2Q and into 3Q, before incremental egress capacity normalizes the market later in the year. That makes this segment a likely source of near-term strength.</w:t>
      </w:r>
    </w:p>
    <w:p>
      <w:pPr>
        <w:pStyle w:val="BodyText"/>
      </w:pPr>
      <w:r>
        <w:t xml:space="preserve">However, investors should separate</w:t>
      </w:r>
      <w:r>
        <w:t xml:space="preserve"> </w:t>
      </w:r>
      <w:r>
        <w:rPr>
          <w:b/>
          <w:bCs/>
        </w:rPr>
        <w:t xml:space="preserve">repeatable firm-transportation earnings</w:t>
      </w:r>
      <w:r>
        <w:t xml:space="preserve"> </w:t>
      </w:r>
      <w:r>
        <w:t xml:space="preserve">from spread-driven optimization. A strong 2Q result is helpful, but the quality of the result matters: earnings tied to durable contracted demand deserve a higher valuation than short-lived dislocation benefits.</w:t>
      </w:r>
    </w:p>
    <w:bookmarkEnd w:id="12"/>
    <w:bookmarkStart w:id="13" w:name="X312ca3c60ae37e6130925df3c021c2c05f4422f"/>
    <w:p>
      <w:pPr>
        <w:pStyle w:val="Heading3"/>
      </w:pPr>
      <w:r>
        <w:t xml:space="preserve">3. Refined-products demand and blending should support RPC</w:t>
      </w:r>
    </w:p>
    <w:p>
      <w:pPr>
        <w:pStyle w:val="FirstParagraph"/>
      </w:pPr>
      <w:r>
        <w:t xml:space="preserve">The Refined Products and Crude segment posted</w:t>
      </w:r>
      <w:r>
        <w:t xml:space="preserve"> </w:t>
      </w:r>
      <w:r>
        <w:rPr>
          <w:b/>
          <w:bCs/>
        </w:rPr>
        <w:t xml:space="preserve">$492 million of 1Q adjusted EBITDA</w:t>
      </w:r>
      <w:r>
        <w:t xml:space="preserve">, with refined-products volumes up sharply year over year. Higher transportation and storage earnings, crude-marketing activity, and strong gasoline/diesel demand were key contributors.</w:t>
      </w:r>
    </w:p>
    <w:p>
      <w:pPr>
        <w:pStyle w:val="BodyText"/>
      </w:pPr>
      <w:r>
        <w:t xml:space="preserve">For 2Q, the relevant swing factors are:</w:t>
      </w:r>
    </w:p>
    <w:p>
      <w:pPr>
        <w:pStyle w:val="Compact"/>
        <w:numPr>
          <w:ilvl w:val="0"/>
          <w:numId w:val="1003"/>
        </w:numPr>
      </w:pPr>
      <w:r>
        <w:t xml:space="preserve">Summer gasoline demand and system throughput;</w:t>
      </w:r>
    </w:p>
    <w:p>
      <w:pPr>
        <w:pStyle w:val="Compact"/>
        <w:numPr>
          <w:ilvl w:val="0"/>
          <w:numId w:val="1003"/>
        </w:numPr>
      </w:pPr>
      <w:r>
        <w:t xml:space="preserve">Butane-blending economics and hedge realization;</w:t>
      </w:r>
    </w:p>
    <w:p>
      <w:pPr>
        <w:pStyle w:val="Compact"/>
        <w:numPr>
          <w:ilvl w:val="0"/>
          <w:numId w:val="1003"/>
        </w:numPr>
      </w:pPr>
      <w:r>
        <w:t xml:space="preserve">Refined-product export and marine-terminal activity;</w:t>
      </w:r>
    </w:p>
    <w:p>
      <w:pPr>
        <w:pStyle w:val="Compact"/>
        <w:numPr>
          <w:ilvl w:val="0"/>
          <w:numId w:val="1003"/>
        </w:numPr>
      </w:pPr>
      <w:r>
        <w:t xml:space="preserve">Crude-volume trends, which lagged refined-product volumes in 1Q;</w:t>
      </w:r>
    </w:p>
    <w:p>
      <w:pPr>
        <w:pStyle w:val="Compact"/>
        <w:numPr>
          <w:ilvl w:val="0"/>
          <w:numId w:val="1003"/>
        </w:numPr>
      </w:pPr>
      <w:r>
        <w:t xml:space="preserve">The status of favorable recontracting activity at export-related assets.</w:t>
      </w:r>
    </w:p>
    <w:p>
      <w:pPr>
        <w:pStyle w:val="FirstParagraph"/>
      </w:pPr>
      <w:r>
        <w:t xml:space="preserve">Management has emphasized that higher system gasoline volumes and completed integration/synergy projects are more important to blending economics than temporary regulatory waivers. That is favorable: it suggests the opportunity is increasingly tied to the scale and connectivity of the platform rather than a single trading window.</w:t>
      </w:r>
    </w:p>
    <w:bookmarkEnd w:id="13"/>
    <w:bookmarkStart w:id="14" w:name="X976602d368fc6db1e2f8aff2ba05ba42d266f18"/>
    <w:p>
      <w:pPr>
        <w:pStyle w:val="Heading3"/>
      </w:pPr>
      <w:r>
        <w:t xml:space="preserve">4. Gathering &amp; Processing has a credible volume recovery path</w:t>
      </w:r>
    </w:p>
    <w:p>
      <w:pPr>
        <w:pStyle w:val="FirstParagraph"/>
      </w:pPr>
      <w:r>
        <w:t xml:space="preserve">Natural Gas Gathering and Processing EBITDA declined to</w:t>
      </w:r>
      <w:r>
        <w:t xml:space="preserve"> </w:t>
      </w:r>
      <w:r>
        <w:rPr>
          <w:b/>
          <w:bCs/>
        </w:rPr>
        <w:t xml:space="preserve">$467 million in 1Q</w:t>
      </w:r>
      <w:r>
        <w:t xml:space="preserve">, from $491 million a year earlier, despite natural-gas processing volumes rising 5%. Lower realized commodity prices, net of hedging, were the main offset.</w:t>
      </w:r>
    </w:p>
    <w:p>
      <w:pPr>
        <w:pStyle w:val="BodyText"/>
      </w:pPr>
      <w:r>
        <w:t xml:space="preserve">The setup into 2Q appears better:</w:t>
      </w:r>
    </w:p>
    <w:p>
      <w:pPr>
        <w:pStyle w:val="Compact"/>
        <w:numPr>
          <w:ilvl w:val="0"/>
          <w:numId w:val="1004"/>
        </w:numPr>
      </w:pPr>
      <w:r>
        <w:t xml:space="preserve">Weather-related operational impacts should have normalized;</w:t>
      </w:r>
    </w:p>
    <w:p>
      <w:pPr>
        <w:pStyle w:val="Compact"/>
        <w:numPr>
          <w:ilvl w:val="0"/>
          <w:numId w:val="1004"/>
        </w:numPr>
      </w:pPr>
      <w:r>
        <w:t xml:space="preserve">Management expected stronger 2Q and 3Q volumes in the Rocky Mountains;</w:t>
      </w:r>
    </w:p>
    <w:p>
      <w:pPr>
        <w:pStyle w:val="Compact"/>
        <w:numPr>
          <w:ilvl w:val="0"/>
          <w:numId w:val="1004"/>
        </w:numPr>
      </w:pPr>
      <w:r>
        <w:t xml:space="preserve">Permian customer activity remained solid;</w:t>
      </w:r>
    </w:p>
    <w:p>
      <w:pPr>
        <w:pStyle w:val="Compact"/>
        <w:numPr>
          <w:ilvl w:val="0"/>
          <w:numId w:val="1004"/>
        </w:numPr>
      </w:pPr>
      <w:r>
        <w:t xml:space="preserve">Producers were reportedly accelerating completions and restoring downtime more quickly.</w:t>
      </w:r>
    </w:p>
    <w:p>
      <w:pPr>
        <w:pStyle w:val="FirstParagraph"/>
      </w:pPr>
      <w:r>
        <w:t xml:space="preserve">This segment is the cleanest test of whether ONEOK’s underlying producer-activity assumptions are becoming more favorable. Stronger throughput with stable operating costs would be a constructive signal for the balance of 2026 and into 2027.</w:t>
      </w:r>
    </w:p>
    <w:p>
      <w:r>
        <w:pict>
          <v:rect style="width:0;height:1.5pt" o:hralign="center" o:hrstd="t" o:hr="t"/>
        </w:pict>
      </w:r>
    </w:p>
    <w:bookmarkEnd w:id="14"/>
    <w:bookmarkEnd w:id="15"/>
    <w:bookmarkStart w:id="19" w:name="what-could-disappoint"/>
    <w:p>
      <w:pPr>
        <w:pStyle w:val="Heading2"/>
      </w:pPr>
      <w:r>
        <w:t xml:space="preserve">What could disappoint</w:t>
      </w:r>
    </w:p>
    <w:bookmarkStart w:id="16" w:name="optimization-may-be-harder-to-repeat"/>
    <w:p>
      <w:pPr>
        <w:pStyle w:val="Heading3"/>
      </w:pPr>
      <w:r>
        <w:t xml:space="preserve">Optimization may be harder to repeat</w:t>
      </w:r>
    </w:p>
    <w:p>
      <w:pPr>
        <w:pStyle w:val="FirstParagraph"/>
      </w:pPr>
      <w:r>
        <w:t xml:space="preserve">1Q benefited from unusually favorable optimization conditions, notably Waha-to-Katy differentials and other market opportunities. ONEOK explicitly expects those differentials to normalize when new pipeline egress arrives in the second half.</w:t>
      </w:r>
    </w:p>
    <w:p>
      <w:pPr>
        <w:pStyle w:val="BodyText"/>
      </w:pPr>
      <w:r>
        <w:t xml:space="preserve">A healthy 2Q can still include strong optimization, but investors should be cautious about annualizing 1Q’s segment mix without confirmation that volumes and contracted earnings—not just spreads—are driving the upside.</w:t>
      </w:r>
    </w:p>
    <w:bookmarkEnd w:id="16"/>
    <w:bookmarkStart w:id="17" w:name="X52f19c838d44cee26f20648da40136c00e9ab09"/>
    <w:p>
      <w:pPr>
        <w:pStyle w:val="Heading3"/>
      </w:pPr>
      <w:r>
        <w:t xml:space="preserve">Commodity exposure is real despite the predominantly fee-based model</w:t>
      </w:r>
    </w:p>
    <w:p>
      <w:pPr>
        <w:pStyle w:val="FirstParagraph"/>
      </w:pPr>
      <w:r>
        <w:t xml:space="preserve">ONEOK is largely fee-based, but it retains exposure through gathering-and-processing economics, hedging, blending, inventory positions, and marketing. In 1Q, G&amp;P realized prices were pressured because the company entered the year substantially hedged.</w:t>
      </w:r>
    </w:p>
    <w:p>
      <w:pPr>
        <w:pStyle w:val="BodyText"/>
      </w:pPr>
      <w:r>
        <w:t xml:space="preserve">Higher commodity prices can help future unhedged volumes and may eventually stimulate producer activity, but they do not necessarily flow through immediately to reported earnings. Commentary on hedge positioning, realized prices, and incremental unhedged exposure will be important.</w:t>
      </w:r>
    </w:p>
    <w:bookmarkEnd w:id="17"/>
    <w:bookmarkStart w:id="18" w:name="X37d32c5577c143e0205ed3099f5e59f75233e92"/>
    <w:p>
      <w:pPr>
        <w:pStyle w:val="Heading3"/>
      </w:pPr>
      <w:r>
        <w:t xml:space="preserve">Capital intensity and leverage remain part of the debate</w:t>
      </w:r>
    </w:p>
    <w:p>
      <w:pPr>
        <w:pStyle w:val="FirstParagraph"/>
      </w:pPr>
      <w:r>
        <w:t xml:space="preserve">ONEOK spent</w:t>
      </w:r>
      <w:r>
        <w:t xml:space="preserve"> </w:t>
      </w:r>
      <m:oMath>
        <m:r>
          <m:t>864</m:t>
        </m:r>
        <m:r>
          <m:t>m</m:t>
        </m:r>
        <m:r>
          <m:t>i</m:t>
        </m:r>
        <m:r>
          <m:t>l</m:t>
        </m:r>
        <m:r>
          <m:t>l</m:t>
        </m:r>
        <m:r>
          <m:t>i</m:t>
        </m:r>
        <m:r>
          <m:t>o</m:t>
        </m:r>
        <m:r>
          <m:t>n</m:t>
        </m:r>
        <m:r>
          <m:t>o</m:t>
        </m:r>
        <m:r>
          <m:t>n</m:t>
        </m:r>
        <m:r>
          <m:t>c</m:t>
        </m:r>
        <m:r>
          <m:t>a</m:t>
        </m:r>
        <m:r>
          <m:t>p</m:t>
        </m:r>
        <m:r>
          <m:t>e</m:t>
        </m:r>
        <m:r>
          <m:t>x</m:t>
        </m:r>
        <m:r>
          <m:t>i</m:t>
        </m:r>
        <m:r>
          <m:t>n</m:t>
        </m:r>
        <m:r>
          <m:t>1</m:t>
        </m:r>
        <m:r>
          <m:t>Q</m:t>
        </m:r>
        <m:r>
          <m:rPr>
            <m:sty m:val="p"/>
          </m:rPr>
          <m:t>*</m:t>
        </m:r>
        <m:r>
          <m:rPr>
            <m:sty m:val="p"/>
          </m:rPr>
          <m:t>*</m:t>
        </m:r>
        <m:r>
          <m:rPr>
            <m:sty m:val="p"/>
          </m:rPr>
          <m:t>,</m:t>
        </m:r>
        <m:r>
          <m:t>v</m:t>
        </m:r>
        <m:r>
          <m:t>e</m:t>
        </m:r>
        <m:r>
          <m:t>r</m:t>
        </m:r>
        <m:r>
          <m:t>s</m:t>
        </m:r>
        <m:r>
          <m:t>u</m:t>
        </m:r>
        <m:r>
          <m:t>s</m:t>
        </m:r>
        <m:r>
          <m:rPr>
            <m:sty m:val="p"/>
          </m:rPr>
          <m:t>*</m:t>
        </m:r>
        <m:r>
          <m:rPr>
            <m:sty m:val="p"/>
          </m:rPr>
          <m:t>*</m:t>
        </m:r>
      </m:oMath>
      <w:r>
        <w:rPr>
          <w:b/>
          <w:bCs/>
        </w:rPr>
        <w:t xml:space="preserve">934 million of operating cash flow</w:t>
      </w:r>
      <w:r>
        <w:t xml:space="preserve">, while also paying</w:t>
      </w:r>
      <w:r>
        <w:t xml:space="preserve"> </w:t>
      </w:r>
      <w:r>
        <w:rPr>
          <w:b/>
          <w:bCs/>
        </w:rPr>
        <w:t xml:space="preserve">$674 million of dividends</w:t>
      </w:r>
      <w:r>
        <w:t xml:space="preserve">. Its growth program is strategically compelling, but near-term free-cash-flow conversion is constrained by elevated investment.</w:t>
      </w:r>
    </w:p>
    <w:p>
      <w:pPr>
        <w:pStyle w:val="BodyText"/>
      </w:pPr>
      <w:r>
        <w:t xml:space="preserve">At March 31, the company had roughly</w:t>
      </w:r>
      <w:r>
        <w:t xml:space="preserve"> </w:t>
      </w:r>
      <w:r>
        <w:rPr>
          <w:b/>
          <w:bCs/>
        </w:rPr>
        <w:t xml:space="preserve">$32.0 billion of long-term debt including current maturities</w:t>
      </w:r>
      <w:r>
        <w:t xml:space="preserve">, plus short-term borrowings. In April, it redeemed the remaining $491 million of notes maturing in July and entered into a $1.2 billion term loan, improving flexibility but not changing the importance of disciplined capital allocation.</w:t>
      </w:r>
    </w:p>
    <w:p>
      <w:pPr>
        <w:pStyle w:val="BodyText"/>
      </w:pPr>
      <w:r>
        <w:t xml:space="preserve">The bull case relies on the current capex wave converting into a meaningful free-cash-flow inflection by mid-2027. Any capex slippage, cost escalation, or delay in project start-ups would weaken that narrative.</w:t>
      </w:r>
    </w:p>
    <w:p>
      <w:r>
        <w:pict>
          <v:rect style="width:0;height:1.5pt" o:hralign="center" o:hrstd="t" o:hr="t"/>
        </w:pict>
      </w:r>
    </w:p>
    <w:bookmarkEnd w:id="18"/>
    <w:bookmarkEnd w:id="19"/>
    <w:bookmarkStart w:id="20" w:name="project-milestones-to-watch"/>
    <w:p>
      <w:pPr>
        <w:pStyle w:val="Heading2"/>
      </w:pPr>
      <w:r>
        <w:t xml:space="preserve">Project milestones to watch</w:t>
      </w:r>
    </w:p>
    <w:p>
      <w:pPr>
        <w:pStyle w:val="FirstParagraph"/>
      </w:pPr>
      <w:r>
        <w:t xml:space="preserve">ONEOK’s organic growth program is becoming increasingly important to the 2027 earnings trajectory. Investors should listen for timing and cost updates 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Project</w:t>
            </w:r>
          </w:p>
        </w:tc>
        <w:tc>
          <w:tcPr/>
          <w:p>
            <w:pPr>
              <w:pStyle w:val="Compact"/>
            </w:pPr>
            <w:r>
              <w:t xml:space="preserve">Expected timing / relevance</w:t>
            </w:r>
          </w:p>
        </w:tc>
      </w:tr>
      <w:tr>
        <w:tc>
          <w:tcPr/>
          <w:p>
            <w:pPr>
              <w:pStyle w:val="Compact"/>
            </w:pPr>
            <w:r>
              <w:t xml:space="preserve">Denver-area refined-products expansion</w:t>
            </w:r>
          </w:p>
        </w:tc>
        <w:tc>
          <w:tcPr/>
          <w:p>
            <w:pPr>
              <w:pStyle w:val="Compact"/>
            </w:pPr>
            <w:r>
              <w:t xml:space="preserve">Targeted for mid-2026; adds 35,000 bbl/d of capacity.</w:t>
            </w:r>
          </w:p>
        </w:tc>
      </w:tr>
      <w:tr>
        <w:tc>
          <w:tcPr/>
          <w:p>
            <w:pPr>
              <w:pStyle w:val="Compact"/>
            </w:pPr>
            <w:r>
              <w:t xml:space="preserve">Delaware Basin processing expansions</w:t>
            </w:r>
          </w:p>
        </w:tc>
        <w:tc>
          <w:tcPr/>
          <w:p>
            <w:pPr>
              <w:pStyle w:val="Compact"/>
            </w:pPr>
            <w:r>
              <w:t xml:space="preserve">Targeted for 3Q26; adds 110 MMcf/d.</w:t>
            </w:r>
          </w:p>
        </w:tc>
      </w:tr>
      <w:tr>
        <w:tc>
          <w:tcPr/>
          <w:p>
            <w:pPr>
              <w:pStyle w:val="Compact"/>
            </w:pPr>
            <w:r>
              <w:t xml:space="preserve">Medford NGL fractionator, Phase 1</w:t>
            </w:r>
          </w:p>
        </w:tc>
        <w:tc>
          <w:tcPr/>
          <w:p>
            <w:pPr>
              <w:pStyle w:val="Compact"/>
            </w:pPr>
            <w:r>
              <w:t xml:space="preserve">Targeted for 4Q26; adds 100,000 bbl/d of Mid-Continent fractionation capacity.</w:t>
            </w:r>
          </w:p>
        </w:tc>
      </w:tr>
      <w:tr>
        <w:tc>
          <w:tcPr/>
          <w:p>
            <w:pPr>
              <w:pStyle w:val="Compact"/>
            </w:pPr>
            <w:r>
              <w:t xml:space="preserve">Cutter plant, Powder River Basin</w:t>
            </w:r>
          </w:p>
        </w:tc>
        <w:tc>
          <w:tcPr/>
          <w:p>
            <w:pPr>
              <w:pStyle w:val="Compact"/>
            </w:pPr>
            <w:r>
              <w:t xml:space="preserve">Targeted for 4Q26; adds 60 MMcf/d of processing capacity.</w:t>
            </w:r>
          </w:p>
        </w:tc>
      </w:tr>
      <w:tr>
        <w:tc>
          <w:tcPr/>
          <w:p>
            <w:pPr>
              <w:pStyle w:val="Compact"/>
            </w:pPr>
            <w:r>
              <w:t xml:space="preserve">Bighorn processing plant, Delaware Basin</w:t>
            </w:r>
          </w:p>
        </w:tc>
        <w:tc>
          <w:tcPr/>
          <w:p>
            <w:pPr>
              <w:pStyle w:val="Compact"/>
            </w:pPr>
            <w:r>
              <w:t xml:space="preserve">Targeted for mid-2027; adds 300 MMcf/d.</w:t>
            </w:r>
          </w:p>
        </w:tc>
      </w:tr>
      <w:tr>
        <w:tc>
          <w:tcPr/>
          <w:p>
            <w:pPr>
              <w:pStyle w:val="Compact"/>
            </w:pPr>
            <w:r>
              <w:t xml:space="preserve">LPG export dock</w:t>
            </w:r>
          </w:p>
        </w:tc>
        <w:tc>
          <w:tcPr/>
          <w:p>
            <w:pPr>
              <w:pStyle w:val="Compact"/>
            </w:pPr>
            <w:r>
              <w:t xml:space="preserve">Commercialization progress could create an important longer-term export-growth leg.</w:t>
            </w:r>
          </w:p>
        </w:tc>
      </w:tr>
    </w:tbl>
    <w:p>
      <w:pPr>
        <w:pStyle w:val="BodyText"/>
      </w:pPr>
      <w:r>
        <w:t xml:space="preserve">The best possible update would be:</w:t>
      </w:r>
      <w:r>
        <w:t xml:space="preserve"> </w:t>
      </w:r>
      <w:r>
        <w:rPr>
          <w:b/>
          <w:bCs/>
        </w:rPr>
        <w:t xml:space="preserve">projects on time and on budget, commercial utilization developing as expected, and no need to raise the</w:t>
      </w:r>
      <w:r>
        <w:rPr>
          <w:b/>
          <w:bCs/>
        </w:rPr>
        <w:t xml:space="preserve"> </w:t>
      </w:r>
      <m:oMath>
        <m:r>
          <m:t>2.7</m:t>
        </m:r>
        <m:r>
          <m:t>b</m:t>
        </m:r>
        <m:r>
          <m:t>i</m:t>
        </m:r>
        <m:r>
          <m:t>l</m:t>
        </m:r>
        <m:r>
          <m:t>l</m:t>
        </m:r>
        <m:r>
          <m:t>i</m:t>
        </m:r>
        <m:r>
          <m:t>o</m:t>
        </m:r>
        <m:r>
          <m:t>n</m:t>
        </m:r>
        <m:r>
          <m:rPr>
            <m:sty m:val="p"/>
          </m:rPr>
          <m:t>–</m:t>
        </m:r>
      </m:oMath>
      <w:r>
        <w:rPr>
          <w:b/>
          <w:bCs/>
        </w:rPr>
        <w:t xml:space="preserve">3.2 billion capex range.</w:t>
      </w:r>
    </w:p>
    <w:p>
      <w:r>
        <w:pict>
          <v:rect style="width:0;height:1.5pt" o:hralign="center" o:hrstd="t" o:hr="t"/>
        </w:pict>
      </w:r>
    </w:p>
    <w:bookmarkEnd w:id="20"/>
    <w:bookmarkStart w:id="23" w:name="guidance-maintain-versus-raise"/>
    <w:p>
      <w:pPr>
        <w:pStyle w:val="Heading2"/>
      </w:pPr>
      <w:r>
        <w:t xml:space="preserve">Guidance: maintain versus raise</w:t>
      </w:r>
    </w:p>
    <w:p>
      <w:pPr>
        <w:pStyle w:val="FirstParagraph"/>
      </w:pPr>
      <w:r>
        <w:t xml:space="preserve">ONEOK raised 2026 guidance in April to:</w:t>
      </w:r>
    </w:p>
    <w:p>
      <w:pPr>
        <w:pStyle w:val="Compact"/>
        <w:numPr>
          <w:ilvl w:val="0"/>
          <w:numId w:val="1005"/>
        </w:numPr>
      </w:pPr>
      <w:r>
        <w:rPr>
          <w:b/>
          <w:bCs/>
        </w:rPr>
        <w:t xml:space="preserve">Net income:</w:t>
      </w:r>
      <w:r>
        <w:t xml:space="preserve"> </w:t>
      </w:r>
      <m:oMath>
        <m:r>
          <m:t>3.21</m:t>
        </m:r>
        <m:r>
          <m:t>b</m:t>
        </m:r>
        <m:r>
          <m:t>i</m:t>
        </m:r>
        <m:r>
          <m:t>l</m:t>
        </m:r>
        <m:r>
          <m:t>l</m:t>
        </m:r>
        <m:r>
          <m:t>i</m:t>
        </m:r>
        <m:r>
          <m:t>o</m:t>
        </m:r>
        <m:r>
          <m:t>n</m:t>
        </m:r>
        <m:r>
          <m:rPr>
            <m:sty m:val="p"/>
          </m:rPr>
          <m:t>–</m:t>
        </m:r>
      </m:oMath>
      <w:r>
        <w:t xml:space="preserve">3.79 billion;</w:t>
      </w:r>
    </w:p>
    <w:p>
      <w:pPr>
        <w:pStyle w:val="Compact"/>
        <w:numPr>
          <w:ilvl w:val="0"/>
          <w:numId w:val="1005"/>
        </w:numPr>
      </w:pPr>
      <w:r>
        <w:rPr>
          <w:b/>
          <w:bCs/>
        </w:rPr>
        <w:t xml:space="preserve">Diluted EPS midpoint:</w:t>
      </w:r>
      <w:r>
        <w:t xml:space="preserve"> </w:t>
      </w:r>
      <w:r>
        <w:t xml:space="preserve">$5.53;</w:t>
      </w:r>
    </w:p>
    <w:p>
      <w:pPr>
        <w:pStyle w:val="Compact"/>
        <w:numPr>
          <w:ilvl w:val="0"/>
          <w:numId w:val="1005"/>
        </w:numPr>
      </w:pPr>
      <w:r>
        <w:rPr>
          <w:b/>
          <w:bCs/>
        </w:rPr>
        <w:t xml:space="preserve">Adjusted EBITDA:</w:t>
      </w:r>
      <w:r>
        <w:t xml:space="preserve"> </w:t>
      </w:r>
      <m:oMath>
        <m:r>
          <m:t>8.0</m:t>
        </m:r>
        <m:r>
          <m:t>b</m:t>
        </m:r>
        <m:r>
          <m:t>i</m:t>
        </m:r>
        <m:r>
          <m:t>l</m:t>
        </m:r>
        <m:r>
          <m:t>l</m:t>
        </m:r>
        <m:r>
          <m:t>i</m:t>
        </m:r>
        <m:r>
          <m:t>o</m:t>
        </m:r>
        <m:r>
          <m:t>n</m:t>
        </m:r>
        <m:r>
          <m:rPr>
            <m:sty m:val="p"/>
          </m:rPr>
          <m:t>–</m:t>
        </m:r>
      </m:oMath>
      <w:r>
        <w:t xml:space="preserve">8.5 billion;</w:t>
      </w:r>
    </w:p>
    <w:p>
      <w:pPr>
        <w:pStyle w:val="Compact"/>
        <w:numPr>
          <w:ilvl w:val="0"/>
          <w:numId w:val="1005"/>
        </w:numPr>
      </w:pPr>
      <w:r>
        <w:rPr>
          <w:b/>
          <w:bCs/>
        </w:rPr>
        <w:t xml:space="preserve">Capex:</w:t>
      </w:r>
      <w:r>
        <w:t xml:space="preserve"> </w:t>
      </w:r>
      <w:r>
        <w:t xml:space="preserve">unchanged at</w:t>
      </w:r>
      <w:r>
        <w:t xml:space="preserve"> </w:t>
      </w:r>
      <m:oMath>
        <m:r>
          <m:t>2.7</m:t>
        </m:r>
        <m:r>
          <m:t>b</m:t>
        </m:r>
        <m:r>
          <m:t>i</m:t>
        </m:r>
        <m:r>
          <m:t>l</m:t>
        </m:r>
        <m:r>
          <m:t>l</m:t>
        </m:r>
        <m:r>
          <m:t>i</m:t>
        </m:r>
        <m:r>
          <m:t>o</m:t>
        </m:r>
        <m:r>
          <m:t>n</m:t>
        </m:r>
        <m:r>
          <m:rPr>
            <m:sty m:val="p"/>
          </m:rPr>
          <m:t>–</m:t>
        </m:r>
      </m:oMath>
      <w:r>
        <w:t xml:space="preserve">3.2 billion.</w:t>
      </w:r>
    </w:p>
    <w:bookmarkStart w:id="21" w:name="X0f4f53f2b6de4454f4128268ad626ef94b87a15"/>
    <w:p>
      <w:pPr>
        <w:pStyle w:val="Heading3"/>
      </w:pPr>
      <w:r>
        <w:t xml:space="preserve">Base-case expectation: reaffirm, with constructive qualitative commentary</w:t>
      </w:r>
    </w:p>
    <w:p>
      <w:pPr>
        <w:pStyle w:val="FirstParagraph"/>
      </w:pPr>
      <w:r>
        <w:t xml:space="preserve">A guidance reaffirmation would be acceptable if 2Q supports the expected second-half ramp. The report will be more compelling if management can point to:</w:t>
      </w:r>
    </w:p>
    <w:p>
      <w:pPr>
        <w:pStyle w:val="Compact"/>
        <w:numPr>
          <w:ilvl w:val="0"/>
          <w:numId w:val="1006"/>
        </w:numPr>
      </w:pPr>
      <w:r>
        <w:t xml:space="preserve">Volume growth exceeding its original plan;</w:t>
      </w:r>
    </w:p>
    <w:p>
      <w:pPr>
        <w:pStyle w:val="Compact"/>
        <w:numPr>
          <w:ilvl w:val="0"/>
          <w:numId w:val="1006"/>
        </w:numPr>
      </w:pPr>
      <w:r>
        <w:t xml:space="preserve">Continued, but prudently framed, optimization opportunities;</w:t>
      </w:r>
    </w:p>
    <w:p>
      <w:pPr>
        <w:pStyle w:val="Compact"/>
        <w:numPr>
          <w:ilvl w:val="0"/>
          <w:numId w:val="1006"/>
        </w:numPr>
      </w:pPr>
      <w:r>
        <w:t xml:space="preserve">No deterioration in producer activity;</w:t>
      </w:r>
    </w:p>
    <w:p>
      <w:pPr>
        <w:pStyle w:val="Compact"/>
        <w:numPr>
          <w:ilvl w:val="0"/>
          <w:numId w:val="1006"/>
        </w:numPr>
      </w:pPr>
      <w:r>
        <w:t xml:space="preserve">Strong project execution;</w:t>
      </w:r>
    </w:p>
    <w:p>
      <w:pPr>
        <w:pStyle w:val="Compact"/>
        <w:numPr>
          <w:ilvl w:val="0"/>
          <w:numId w:val="1006"/>
        </w:numPr>
      </w:pPr>
      <w:r>
        <w:t xml:space="preserve">A credible runway into 2027 as growth projects enter service.</w:t>
      </w:r>
    </w:p>
    <w:bookmarkEnd w:id="21"/>
    <w:bookmarkStart w:id="22" w:name="what-would-justify-another-raise"/>
    <w:p>
      <w:pPr>
        <w:pStyle w:val="Heading3"/>
      </w:pPr>
      <w:r>
        <w:t xml:space="preserve">What would justify another raise?</w:t>
      </w:r>
    </w:p>
    <w:p>
      <w:pPr>
        <w:pStyle w:val="FirstParagraph"/>
      </w:pPr>
      <w:r>
        <w:t xml:space="preserve">A further increase would likely require a combination of stronger-than-expected volumes, sustained optimization or blending margins, and enough visibility that management is comfortable embedding those gains in the back-half outlook. Given that Waha-to-Katy benefits are expected to normalize later this year, a raise based principally on market dislocations would be less valuable than one supported by physical throughput and project-driven earnings.</w:t>
      </w:r>
    </w:p>
    <w:p>
      <w:r>
        <w:pict>
          <v:rect style="width:0;height:1.5pt" o:hralign="center" o:hrstd="t" o:hr="t"/>
        </w:pict>
      </w:r>
    </w:p>
    <w:bookmarkEnd w:id="22"/>
    <w:bookmarkEnd w:id="23"/>
    <w:bookmarkStart w:id="24" w:name="X9116bec721e8ecc27edd7ff5882de2109353ab2"/>
    <w:p>
      <w:pPr>
        <w:pStyle w:val="Heading2"/>
      </w:pPr>
      <w:r>
        <w:t xml:space="preserve">Questions investors should ask on the call</w:t>
      </w:r>
    </w:p>
    <w:p>
      <w:pPr>
        <w:pStyle w:val="Compact"/>
        <w:numPr>
          <w:ilvl w:val="0"/>
          <w:numId w:val="1007"/>
        </w:numPr>
      </w:pPr>
      <w:r>
        <w:rPr>
          <w:b/>
          <w:bCs/>
        </w:rPr>
        <w:t xml:space="preserve">How much of 2Q EBITDA strength came from recurring volume and contract economics versus optimization?</w:t>
      </w:r>
    </w:p>
    <w:p>
      <w:pPr>
        <w:pStyle w:val="Compact"/>
        <w:numPr>
          <w:ilvl w:val="0"/>
          <w:numId w:val="1007"/>
        </w:numPr>
      </w:pPr>
      <w:r>
        <w:rPr>
          <w:b/>
          <w:bCs/>
        </w:rPr>
        <w:t xml:space="preserve">Are Waha-to-Katy spreads still contributing at 1Q-like levels, and what is the expected decline once new egress enters service?</w:t>
      </w:r>
    </w:p>
    <w:p>
      <w:pPr>
        <w:pStyle w:val="Compact"/>
        <w:numPr>
          <w:ilvl w:val="0"/>
          <w:numId w:val="1007"/>
        </w:numPr>
      </w:pPr>
      <w:r>
        <w:rPr>
          <w:b/>
          <w:bCs/>
        </w:rPr>
        <w:t xml:space="preserve">Did gathering-and-processing volumes accelerate in the Permian, Mid-Continent, and Rockies as expected?</w:t>
      </w:r>
    </w:p>
    <w:p>
      <w:pPr>
        <w:pStyle w:val="Compact"/>
        <w:numPr>
          <w:ilvl w:val="0"/>
          <w:numId w:val="1007"/>
        </w:numPr>
      </w:pPr>
      <w:r>
        <w:rPr>
          <w:b/>
          <w:bCs/>
        </w:rPr>
        <w:t xml:space="preserve">What is the current utilization and commercial outlook for the relocated Shadowfax plant in the Midland Basin?</w:t>
      </w:r>
    </w:p>
    <w:p>
      <w:pPr>
        <w:pStyle w:val="Compact"/>
        <w:numPr>
          <w:ilvl w:val="0"/>
          <w:numId w:val="1007"/>
        </w:numPr>
      </w:pPr>
      <w:r>
        <w:rPr>
          <w:b/>
          <w:bCs/>
        </w:rPr>
        <w:t xml:space="preserve">Are the Delaware, Denver, Medford, Cutter, and Bighorn projects still on schedule and within budget?</w:t>
      </w:r>
    </w:p>
    <w:p>
      <w:pPr>
        <w:pStyle w:val="Compact"/>
        <w:numPr>
          <w:ilvl w:val="0"/>
          <w:numId w:val="1007"/>
        </w:numPr>
      </w:pPr>
      <w:r>
        <w:rPr>
          <w:b/>
          <w:bCs/>
        </w:rPr>
        <w:t xml:space="preserve">What has changed in the producer outlook—particularly among private versus public producers—since the April call?</w:t>
      </w:r>
    </w:p>
    <w:p>
      <w:pPr>
        <w:pStyle w:val="Compact"/>
        <w:numPr>
          <w:ilvl w:val="0"/>
          <w:numId w:val="1007"/>
        </w:numPr>
      </w:pPr>
      <w:r>
        <w:rPr>
          <w:b/>
          <w:bCs/>
        </w:rPr>
        <w:t xml:space="preserve">How much of the 2026 improvement is expected to carry into 2027 after temporary spread opportunities normalize?</w:t>
      </w:r>
    </w:p>
    <w:p>
      <w:pPr>
        <w:pStyle w:val="Compact"/>
        <w:numPr>
          <w:ilvl w:val="0"/>
          <w:numId w:val="1007"/>
        </w:numPr>
      </w:pPr>
      <w:r>
        <w:rPr>
          <w:b/>
          <w:bCs/>
        </w:rPr>
        <w:t xml:space="preserve">What is the latest commercial progress on the LPG export dock and data-center/power-related gas-pipeline projects?</w:t>
      </w:r>
    </w:p>
    <w:p>
      <w:pPr>
        <w:pStyle w:val="Compact"/>
        <w:numPr>
          <w:ilvl w:val="0"/>
          <w:numId w:val="1007"/>
        </w:numPr>
      </w:pPr>
      <w:r>
        <w:rPr>
          <w:b/>
          <w:bCs/>
        </w:rPr>
        <w:t xml:space="preserve">Does the company still expect meaningful free-cash-flow expansion beginning around mid-2027?</w:t>
      </w:r>
    </w:p>
    <w:p>
      <w:pPr>
        <w:pStyle w:val="Compact"/>
        <w:numPr>
          <w:ilvl w:val="0"/>
          <w:numId w:val="1007"/>
        </w:numPr>
      </w:pPr>
      <w:r>
        <w:rPr>
          <w:b/>
          <w:bCs/>
        </w:rPr>
        <w:t xml:space="preserve">How should investors think about future capital returns once leverage objectives and the major growth-capex cycle are further advanced?</w:t>
      </w:r>
    </w:p>
    <w:p>
      <w:r>
        <w:pict>
          <v:rect style="width:0;height:1.5pt" o:hralign="center" o:hrstd="t" o:hr="t"/>
        </w:pict>
      </w:r>
    </w:p>
    <w:bookmarkEnd w:id="24"/>
    <w:bookmarkStart w:id="25" w:name="bottom-line"/>
    <w:p>
      <w:pPr>
        <w:pStyle w:val="Heading2"/>
      </w:pPr>
      <w:r>
        <w:t xml:space="preserve">Bottom line</w:t>
      </w:r>
    </w:p>
    <w:p>
      <w:pPr>
        <w:pStyle w:val="FirstParagraph"/>
      </w:pPr>
      <w:r>
        <w:t xml:space="preserve">ONEOK’s 2Q report should be judged as a</w:t>
      </w:r>
      <w:r>
        <w:t xml:space="preserve"> </w:t>
      </w:r>
      <w:r>
        <w:rPr>
          <w:b/>
          <w:bCs/>
        </w:rPr>
        <w:t xml:space="preserve">quality-of-earnings and outlook-validation event</w:t>
      </w:r>
      <w:r>
        <w:t xml:space="preserve">. The company already established a strong starting point in 1Q, raised guidance, and described a second-half ramp driven by higher volumes, completed projects, and favorable commercial conditions.</w:t>
      </w:r>
    </w:p>
    <w:p>
      <w:pPr>
        <w:pStyle w:val="BodyText"/>
      </w:pPr>
      <w:r>
        <w:t xml:space="preserve">The bullish outcome is a quarter that shows:</w:t>
      </w:r>
    </w:p>
    <w:p>
      <w:pPr>
        <w:pStyle w:val="Compact"/>
        <w:numPr>
          <w:ilvl w:val="0"/>
          <w:numId w:val="1008"/>
        </w:numPr>
      </w:pPr>
      <w:r>
        <w:t xml:space="preserve">Broad, physical volume growth;</w:t>
      </w:r>
    </w:p>
    <w:p>
      <w:pPr>
        <w:pStyle w:val="Compact"/>
        <w:numPr>
          <w:ilvl w:val="0"/>
          <w:numId w:val="1008"/>
        </w:numPr>
      </w:pPr>
      <w:r>
        <w:t xml:space="preserve">Healthy refined-products and NGL throughput;</w:t>
      </w:r>
    </w:p>
    <w:p>
      <w:pPr>
        <w:pStyle w:val="Compact"/>
        <w:numPr>
          <w:ilvl w:val="0"/>
          <w:numId w:val="1008"/>
        </w:numPr>
      </w:pPr>
      <w:r>
        <w:t xml:space="preserve">Strong—but not solely spread-dependent—pipeline earnings;</w:t>
      </w:r>
    </w:p>
    <w:p>
      <w:pPr>
        <w:pStyle w:val="Compact"/>
        <w:numPr>
          <w:ilvl w:val="0"/>
          <w:numId w:val="1008"/>
        </w:numPr>
      </w:pPr>
      <w:r>
        <w:t xml:space="preserve">Improved G&amp;P earnings as volumes recover;</w:t>
      </w:r>
    </w:p>
    <w:p>
      <w:pPr>
        <w:pStyle w:val="Compact"/>
        <w:numPr>
          <w:ilvl w:val="0"/>
          <w:numId w:val="1008"/>
        </w:numPr>
      </w:pPr>
      <w:r>
        <w:t xml:space="preserve">On-time, on-budget project execution;</w:t>
      </w:r>
    </w:p>
    <w:p>
      <w:pPr>
        <w:pStyle w:val="Compact"/>
        <w:numPr>
          <w:ilvl w:val="0"/>
          <w:numId w:val="1008"/>
        </w:numPr>
      </w:pPr>
      <w:r>
        <w:t xml:space="preserve">Reaffirmed or improved 2026 guidance with a clearer 2027 free-cash-flow path.</w:t>
      </w:r>
    </w:p>
    <w:p>
      <w:pPr>
        <w:pStyle w:val="FirstParagraph"/>
      </w:pPr>
      <w:r>
        <w:t xml:space="preserve">The main risk is that investors conclude that the 1Q upside was overly dependent on temporary optimization, while capex and leverage remain elevated. In that scenario, even a headline beat may not be enough.</w:t>
      </w:r>
    </w:p>
    <w:p>
      <w:pPr>
        <w:pStyle w:val="BodyText"/>
      </w:pPr>
      <w:r>
        <w:rPr>
          <w:b/>
          <w:bCs/>
        </w:rPr>
        <w:t xml:space="preserve">Overall stance going into the release:</w:t>
      </w:r>
      <w:r>
        <w:t xml:space="preserve"> </w:t>
      </w:r>
      <w:r>
        <w:t xml:space="preserve">constructive fundamentals, but a higher bar. The most valuable evidence will be confirmation that ONEOK’s earnings progression is increasingly volume- and project-led rather than market-dislocation-led.</w:t>
      </w:r>
    </w:p>
    <w:p>
      <w:pPr>
        <w:pStyle w:val="BodyText"/>
      </w:pPr>
      <w:r>
        <w:rPr>
          <w:i/>
          <w:iCs/>
        </w:rPr>
        <w:t xml:space="preserve">Sources reviewed: ONEOK’s 1Q26 earnings release and conference-call transcript; ONEOK’s July 9, 2026 release scheduling the 2Q26 earnings announcement and conference call; ONEOK’s 2Q25 earnings release.</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2026-08-03T00:28:03Z</dcterms:created>
  <dcterms:modified xsi:type="dcterms:W3CDTF">2026-08-03T00:28:03Z</dcterms:modified>
</cp:coreProperties>
</file>

<file path=docProps/custom.xml><?xml version="1.0" encoding="utf-8"?>
<Properties xmlns="http://schemas.openxmlformats.org/officeDocument/2006/custom-properties" xmlns:vt="http://schemas.openxmlformats.org/officeDocument/2006/docPropsVTypes"/>
</file>