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mc-earnings-predictions--2026-07-28"/>
    <w:p>
      <w:pPr>
        <w:pStyle w:val="Heading1"/>
      </w:pPr>
      <w:r>
        <w:t xml:space="preserve">OMC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Core-operations organic revenue growth (Q2 2026, combined basis)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~4.1% vs. cons ~4.0%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EBITA margin (Q2 2026, combined basis)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~16.2% vs. cons ~15.6%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framing (reiterate 'higher double-digit' vs Q1 11.8%)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10.97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cost synergy capture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organic growth target (constant currency)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 vs. cons ~4%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weighted-avg share count reduction (buyback-driven)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~8-9% WASO decline vs. cons ~8-9%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Portfolio disposition proceeds / completion timeline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3.2</m:t>
              </m:r>
              <m:r>
                <m:t>B</m:t>
              </m:r>
              <m:r>
                <m:t>a</m:t>
              </m:r>
              <m:r>
                <m:t>n</m:t>
              </m:r>
              <m:r>
                <m:t>n</m:t>
              </m:r>
              <m:r>
                <m:t>u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e</m:t>
              </m:r>
              <m:r>
                <m:t>x</m:t>
              </m:r>
              <m:r>
                <m:t>i</m:t>
              </m:r>
              <m:r>
                <m:t>t</m:t>
              </m:r>
              <m:r>
                <m:rPr>
                  <m:sty m:val="p"/>
                </m:rPr>
                <m:t>,</m:t>
              </m:r>
              <m:r>
                <m:t> </m:t>
              </m:r>
            </m:oMath>
            <w:r>
              <w:t xml:space="preserve">1B+ done vs. cons ~$3.2B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OMC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Stock rallied ~13% in July into the print (from ~</w:t>
            </w:r>
            <m:oMath>
              <m:r>
                <m:t>73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82), so a modest EPS/margin beat driven by expected synergies and buybacks is largely priced. With consensus already embedding ~29% EPS growth and management's 'higher double-digit' framing, an in-line-to-slightly-better organic number and reiterated (not raised) guide gives revisions little to grab onto. Out-period math (below-10% disposal margins, ~$200M higher interest expense, still-noisy dispositions) caps upward estimate revisions, so an initial pop likely gives back ground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2026-07-28T01:11:12Z</dcterms:created>
  <dcterms:modified xsi:type="dcterms:W3CDTF">2026-07-28T01:11:12Z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