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OMC (Omnicom Group) before writing the preview. Let me gather recent filings, transcripts, and news.Let me read the most recent earnings materials to understand where OMC stands.Let me gather recent stock performance, news, and analyst expectations.I have what I need. Let me quickly compute a couple of stock performance figures before writing.# Omnicom Group (OMC) — Q2 2026 Earnings Preview</w:t>
      </w:r>
    </w:p>
    <w:bookmarkStart w:id="9" w:name="X15f338f0c3c5f9a15dbe2016082a7346a3e59a1"/>
    <w:p>
      <w:pPr>
        <w:pStyle w:val="Heading3"/>
      </w:pPr>
      <w:r>
        <w:t xml:space="preserve">Reporting after the close, Tuesday, July 28, 2026 · 2026Q2 Earnings Call</w:t>
      </w:r>
    </w:p>
    <w:bookmarkEnd w:id="9"/>
    <w:bookmarkStart w:id="10" w:name="the-one-line-setup"/>
    <w:p>
      <w:pPr>
        <w:pStyle w:val="Heading2"/>
      </w:pPr>
      <w:r>
        <w:t xml:space="preserve">The one-line setup</w:t>
      </w:r>
    </w:p>
    <w:p>
      <w:pPr>
        <w:pStyle w:val="FirstParagraph"/>
      </w:pPr>
      <w:r>
        <w:t xml:space="preserve">This is only Omnicom's</w:t>
      </w:r>
      <w:r>
        <w:t xml:space="preserve"> </w:t>
      </w:r>
      <w:r>
        <w:rPr>
          <w:b/>
          <w:bCs/>
        </w:rPr>
        <w:t xml:space="preserve">second full quarter as the "new Omnicom"</w:t>
      </w:r>
      <w:r>
        <w:t xml:space="preserve"> </w:t>
      </w:r>
      <w:r>
        <w:t xml:space="preserve">following the November 26, 2025 close of the ~$13B Interpublic (IPG) acquisition. The report is less about a single EPS print and more about proving that the integration thesis — cost synergies, portfolio pruning, and a bigger, more data/media-weighted platform — is actually compounding. Management set an aggressive tone last quarter, explicitly aiming to deliver profitability and earnings-per-share growth that will set a new standard for our sector.</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rPr>
          <w:b/>
          <w:bCs/>
        </w:rPr>
        <w:t xml:space="preserve">Adjusted EPS:</w:t>
      </w:r>
      <w:r>
        <w:t xml:space="preserve"> </w:t>
      </w:r>
      <w:r>
        <w:t xml:space="preserve">consensus ~</w:t>
      </w:r>
      <w:r>
        <w:rPr>
          <w:b/>
          <w:bCs/>
        </w:rPr>
        <w:t xml:space="preserve">$2.64</w:t>
      </w:r>
      <w:r>
        <w:t xml:space="preserve">, up ~28.8% vs. the</w:t>
      </w:r>
      <w:r>
        <w:t xml:space="preserve"> </w:t>
      </w:r>
      <m:oMath>
        <m:r>
          <m:t>2.05</m:t>
        </m:r>
        <m:r>
          <m:t>O</m:t>
        </m:r>
        <m:r>
          <m:t>m</m:t>
        </m:r>
        <m:r>
          <m:t>n</m:t>
        </m:r>
        <m:r>
          <m:t>i</m:t>
        </m:r>
        <m:r>
          <m:t>c</m:t>
        </m:r>
        <m:r>
          <m:t>o</m:t>
        </m:r>
        <m:r>
          <m:t>m</m:t>
        </m:r>
        <m:r>
          <m:t>r</m:t>
        </m:r>
        <m:r>
          <m:t>e</m:t>
        </m:r>
        <m:r>
          <m:t>p</m:t>
        </m:r>
        <m:r>
          <m:t>o</m:t>
        </m:r>
        <m:r>
          <m:t>r</m:t>
        </m:r>
        <m:r>
          <m:t>t</m:t>
        </m:r>
        <m:r>
          <m:t>e</m:t>
        </m:r>
        <m:r>
          <m:t>d</m:t>
        </m:r>
        <m:r>
          <m:t>i</m:t>
        </m:r>
        <m:r>
          <m:t>n</m:t>
        </m:r>
        <m:r>
          <m:t>Q</m:t>
        </m:r>
        <m:r>
          <m:t>2</m:t>
        </m:r>
        <m:r>
          <m:t>2025</m:t>
        </m:r>
        <m:r>
          <m:rPr>
            <m:sty m:val="p"/>
          </m:rPr>
          <m:t>(</m:t>
        </m:r>
        <m:r>
          <m:t>s</m:t>
        </m:r>
        <m:r>
          <m:t>t</m:t>
        </m:r>
        <m:r>
          <m:t>a</m:t>
        </m:r>
        <m:r>
          <m:t>n</m:t>
        </m:r>
        <m:r>
          <m:t>d</m:t>
        </m:r>
        <m:r>
          <m:t>a</m:t>
        </m:r>
        <m:r>
          <m:t>l</m:t>
        </m:r>
        <m:r>
          <m:t>o</m:t>
        </m:r>
        <m:r>
          <m:t>n</m:t>
        </m:r>
        <m:r>
          <m:t>e</m:t>
        </m:r>
        <m:r>
          <m:rPr>
            <m:sty m:val="p"/>
          </m:rPr>
          <m:t>)</m:t>
        </m:r>
        <m:r>
          <m:rPr>
            <m:sty m:val="p"/>
          </m:rPr>
          <m:t>.</m:t>
        </m:r>
        <m:r>
          <m:t>F</m:t>
        </m:r>
        <m:r>
          <m:t>o</m:t>
        </m:r>
        <m:r>
          <m:t>r</m:t>
        </m:r>
        <m:r>
          <m:t>c</m:t>
        </m:r>
        <m:r>
          <m:t>o</m:t>
        </m:r>
        <m:r>
          <m:t>n</m:t>
        </m:r>
        <m:r>
          <m:t>t</m:t>
        </m:r>
        <m:r>
          <m:t>e</m:t>
        </m:r>
        <m:r>
          <m:t>x</m:t>
        </m:r>
        <m:r>
          <m:t>t</m:t>
        </m:r>
        <m:r>
          <m:rPr>
            <m:sty m:val="p"/>
          </m:rPr>
          <m:t>,</m:t>
        </m:r>
        <m:r>
          <m:t>f</m:t>
        </m:r>
        <m:r>
          <m:t>u</m:t>
        </m:r>
        <m:r>
          <m:t>l</m:t>
        </m:r>
        <m:r>
          <m:t>l</m:t>
        </m:r>
        <m:r>
          <m:rPr>
            <m:sty m:val="p"/>
          </m:rPr>
          <m:t>−</m:t>
        </m:r>
        <m:r>
          <m:t>y</m:t>
        </m:r>
        <m:r>
          <m:t>e</m:t>
        </m:r>
        <m:r>
          <m:t>a</m:t>
        </m:r>
        <m:r>
          <m:t>r</m:t>
        </m:r>
        <m:r>
          <m:t>F</m:t>
        </m:r>
        <m:r>
          <m:t>Y</m:t>
        </m:r>
        <m:r>
          <m:t>2026</m:t>
        </m:r>
        <m:r>
          <m:t>a</m:t>
        </m:r>
        <m:r>
          <m:t>d</m:t>
        </m:r>
        <m:r>
          <m:t>j</m:t>
        </m:r>
        <m:r>
          <m:t>u</m:t>
        </m:r>
        <m:r>
          <m:t>s</m:t>
        </m:r>
        <m:r>
          <m:t>t</m:t>
        </m:r>
        <m:r>
          <m:t>e</m:t>
        </m:r>
        <m:r>
          <m:t>d</m:t>
        </m:r>
        <m:r>
          <m:t>E</m:t>
        </m:r>
        <m:r>
          <m:t>P</m:t>
        </m:r>
        <m:r>
          <m:t>S</m:t>
        </m:r>
        <m:r>
          <m:t>c</m:t>
        </m:r>
        <m:r>
          <m:t>o</m:t>
        </m:r>
        <m:r>
          <m:t>n</m:t>
        </m:r>
        <m:r>
          <m:t>s</m:t>
        </m:r>
        <m:r>
          <m:t>e</m:t>
        </m:r>
        <m:r>
          <m:t>n</m:t>
        </m:r>
        <m:r>
          <m:t>s</m:t>
        </m:r>
        <m:r>
          <m:t>u</m:t>
        </m:r>
        <m:r>
          <m:t>s</m:t>
        </m:r>
        <m:r>
          <m:t>i</m:t>
        </m:r>
        <m:r>
          <m:t>s</m:t>
        </m:r>
        <m:r>
          <m:t> </m:t>
        </m:r>
      </m:oMath>
      <w:r>
        <w:t xml:space="preserve">10.97 (+26.8% vs.</w:t>
      </w:r>
      <w:r>
        <w:t xml:space="preserve"> </w:t>
      </w:r>
      <m:oMath>
        <m:r>
          <m:t>8.65</m:t>
        </m:r>
        <m:r>
          <m:t>i</m:t>
        </m:r>
        <m:r>
          <m:t>n</m:t>
        </m:r>
        <m:r>
          <m:t>F</m:t>
        </m:r>
        <m:r>
          <m:t>Y</m:t>
        </m:r>
        <m:r>
          <m:t>2025</m:t>
        </m:r>
        <m:r>
          <m:rPr>
            <m:sty m:val="p"/>
          </m:rPr>
          <m:t>)</m:t>
        </m:r>
        <m:r>
          <m:rPr>
            <m:sty m:val="p"/>
          </m:rPr>
          <m:t>,</m:t>
        </m:r>
        <m:r>
          <m:t>r</m:t>
        </m:r>
        <m:r>
          <m:t>i</m:t>
        </m:r>
        <m:r>
          <m:t>s</m:t>
        </m:r>
        <m:r>
          <m:t>i</m:t>
        </m:r>
        <m:r>
          <m:t>n</m:t>
        </m:r>
        <m:r>
          <m:t>g</m:t>
        </m:r>
        <m:r>
          <m:t>t</m:t>
        </m:r>
        <m:r>
          <m:t>o</m:t>
        </m:r>
        <m:r>
          <m:t> </m:t>
        </m:r>
      </m:oMath>
      <w:r>
        <w:t xml:space="preserve">12.53 in FY2027.</w:t>
      </w:r>
    </w:p>
    <w:p>
      <w:pPr>
        <w:pStyle w:val="Compact"/>
        <w:numPr>
          <w:ilvl w:val="0"/>
          <w:numId w:val="1001"/>
        </w:numPr>
      </w:pPr>
      <w:r>
        <w:rPr>
          <w:b/>
          <w:bCs/>
        </w:rPr>
        <w:t xml:space="preserve">Revenue:</w:t>
      </w:r>
      <w:r>
        <w:t xml:space="preserve"> </w:t>
      </w:r>
      <w:r>
        <w:t xml:space="preserve">the market is looking for reported revenue to grow roughly</w:t>
      </w:r>
      <w:r>
        <w:t xml:space="preserve"> </w:t>
      </w:r>
      <w:r>
        <w:rPr>
          <w:b/>
          <w:bCs/>
        </w:rPr>
        <w:t xml:space="preserve">60% year-on-year</w:t>
      </w:r>
      <w:r>
        <w:t xml:space="preserve"> </w:t>
      </w:r>
      <w:r>
        <w:t xml:space="preserve">(the optics of folding in a full quarter of IPG vs. a standalone OMC year-ago base), versus the 4.2% organic increase OMC posted in the year-ago quarter.</w:t>
      </w:r>
    </w:p>
    <w:p>
      <w:pPr>
        <w:pStyle w:val="Compact"/>
        <w:numPr>
          <w:ilvl w:val="0"/>
          <w:numId w:val="1001"/>
        </w:numPr>
      </w:pPr>
      <w:r>
        <w:rPr>
          <w:b/>
          <w:bCs/>
        </w:rPr>
        <w:t xml:space="preserve">Sentiment/valuation:</w:t>
      </w:r>
      <w:r>
        <w:t xml:space="preserve"> </w:t>
      </w:r>
      <w:r>
        <w:t xml:space="preserve">consensus 12-month price target sits near **</w:t>
      </w:r>
      <m:oMath>
        <m:r>
          <m:t>100</m:t>
        </m:r>
        <m:r>
          <m:rPr>
            <m:sty m:val="p"/>
          </m:rPr>
          <m:t>*</m:t>
        </m:r>
        <m:r>
          <m:rPr>
            <m:sty m:val="p"/>
          </m:rPr>
          <m:t>*</m:t>
        </m:r>
        <m:r>
          <m:rPr>
            <m:sty m:val="p"/>
          </m:rPr>
          <m:t>,</m:t>
        </m:r>
        <m:r>
          <m:t>w</m:t>
        </m:r>
        <m:r>
          <m:t>e</m:t>
        </m:r>
        <m:r>
          <m:t>l</m:t>
        </m:r>
        <m:r>
          <m:t>l</m:t>
        </m:r>
        <m:r>
          <m:t>a</m:t>
        </m:r>
        <m:r>
          <m:t>b</m:t>
        </m:r>
        <m:r>
          <m:t>o</m:t>
        </m:r>
        <m:r>
          <m:t>v</m:t>
        </m:r>
        <m:r>
          <m:t>e</m:t>
        </m:r>
        <m:r>
          <m:t>t</m:t>
        </m:r>
        <m:r>
          <m:t>h</m:t>
        </m:r>
        <m:r>
          <m:t>e</m:t>
        </m:r>
        <m:r>
          <m:t>c</m:t>
        </m:r>
        <m:r>
          <m:t>u</m:t>
        </m:r>
        <m:r>
          <m:t>r</m:t>
        </m:r>
        <m:r>
          <m:t>r</m:t>
        </m:r>
        <m:r>
          <m:t>e</m:t>
        </m:r>
        <m:r>
          <m:t>n</m:t>
        </m:r>
        <m:r>
          <m:t>t</m:t>
        </m:r>
        <m:r>
          <m:t> </m:t>
        </m:r>
      </m:oMath>
      <w:r>
        <w:t xml:space="preserve">82 share price.</w:t>
      </w:r>
    </w:p>
    <w:p>
      <w:pPr>
        <w:pStyle w:val="FirstParagraph"/>
      </w:pPr>
      <w:r>
        <w:t xml:space="preserve">Because year-ago numbers are distorted by the merger, the reported growth rate is close to meaningless. The figures that matter are</w:t>
      </w:r>
      <w:r>
        <w:t xml:space="preserve"> </w:t>
      </w:r>
      <w:r>
        <w:rPr>
          <w:b/>
          <w:bCs/>
        </w:rPr>
        <w:t xml:space="preserve">core-operations organic growth</w:t>
      </w:r>
      <w:r>
        <w:t xml:space="preserve"> </w:t>
      </w:r>
      <w:r>
        <w:t xml:space="preserve">and</w:t>
      </w:r>
      <w:r>
        <w:t xml:space="preserve"> </w:t>
      </w:r>
      <w:r>
        <w:rPr>
          <w:b/>
          <w:bCs/>
        </w:rPr>
        <w:t xml:space="preserve">adjusted EBITA margin</w:t>
      </w:r>
      <w:r>
        <w:t xml:space="preserve">, both of which management now reports on a combined-basis comparison.</w:t>
      </w:r>
    </w:p>
    <w:p>
      <w:r>
        <w:pict>
          <v:rect style="width:0;height:1.5pt" o:hralign="center" o:hrstd="t" o:hr="t"/>
        </w:pict>
      </w:r>
    </w:p>
    <w:bookmarkEnd w:id="11"/>
    <w:bookmarkStart w:id="17" w:name="the-five-things-that-actually-matter"/>
    <w:p>
      <w:pPr>
        <w:pStyle w:val="Heading2"/>
      </w:pPr>
      <w:r>
        <w:t xml:space="preserve">The five things that actually matter</w:t>
      </w:r>
    </w:p>
    <w:bookmarkStart w:id="12" w:name="X022e1f2075cdf174cf9f06d1d5024ed8877cc09"/>
    <w:p>
      <w:pPr>
        <w:pStyle w:val="Heading3"/>
      </w:pPr>
      <w:r>
        <w:t xml:space="preserve">1. Core-operations organic growth (the cleanest read on demand)</w:t>
      </w:r>
    </w:p>
    <w:p>
      <w:pPr>
        <w:pStyle w:val="FirstParagraph"/>
      </w:pPr>
      <w:r>
        <w:t xml:space="preserve">Last quarter, revenue from core operations was $5.6 billion in the first quarter, which increased $345 million when compared to Q1 2025 revenue from core operations for the combined Omnicom and Interpublic. Organic revenue growth was 3.9%. Management reaffirmed a full-year</w:t>
      </w:r>
      <w:r>
        <w:t xml:space="preserve"> </w:t>
      </w:r>
      <w:r>
        <w:rPr>
          <w:b/>
          <w:bCs/>
        </w:rPr>
        <w:t xml:space="preserve">~4% constant-currency</w:t>
      </w:r>
      <w:r>
        <w:t xml:space="preserve"> </w:t>
      </w:r>
      <w:r>
        <w:t xml:space="preserve">core organic target at its Investor Day and said it remains on track. Watch whether Q2 accelerates toward/above 4% — a re-acceleration would be an important sign that client losses from the merger aren't materializing.</w:t>
      </w:r>
    </w:p>
    <w:p>
      <w:pPr>
        <w:pStyle w:val="BodyText"/>
      </w:pPr>
      <w:r>
        <w:t xml:space="preserve">By discipline in Q1: Integrated Media led the way with very strong growth in the high single digits. PR and experiential and other grew in the quarter mid-single digits. Health had positive growth and advertising was down in Q1. The</w:t>
      </w:r>
      <w:r>
        <w:t xml:space="preserve"> </w:t>
      </w:r>
      <w:r>
        <w:rPr>
          <w:b/>
          <w:bCs/>
        </w:rPr>
        <w:t xml:space="preserve">advertising (creative) softness is the key watch item</w:t>
      </w:r>
      <w:r>
        <w:t xml:space="preserve"> </w:t>
      </w:r>
      <w:r>
        <w:t xml:space="preserve">— management framed it partly as a mix shift toward automated production inside Integrated Media, but a second consecutive decline would draw scrutiny. Integrated Media is now the anchor of the story: Revenue from our core operations in the first quarter of 2026 for Integrated Media was approximately 52% of our revenues. And for advertising was 17% Health, 10%; PR 12%; and Experiential &amp; Other, 10%.</w:t>
      </w:r>
    </w:p>
    <w:bookmarkEnd w:id="12"/>
    <w:bookmarkStart w:id="13" w:name="X48bfc4f82f9205034a54de330c33470e35e111b"/>
    <w:p>
      <w:pPr>
        <w:pStyle w:val="Heading3"/>
      </w:pPr>
      <w:r>
        <w:t xml:space="preserve">2. Synergy capture and margin</w:t>
      </w:r>
    </w:p>
    <w:p>
      <w:pPr>
        <w:pStyle w:val="FirstParagraph"/>
      </w:pPr>
      <w:r>
        <w:t xml:space="preserve">The bull case rests on cost synergies flowing to the bottom line. In Q1, adjusted EBITDA margin increased 240 basis points to 14.8% as compared to the combined operations for Q1 2025, driven primarily by synergies. Management is targeting $900 million in 2026 cost reduction synergies and $1.5 billion by mid-2028, having already merged or sunset more than 20 major agency brands. Look for margin to expand again and for any raise/refinement to the synergy pace.</w:t>
      </w:r>
    </w:p>
    <w:bookmarkEnd w:id="13"/>
    <w:bookmarkStart w:id="14" w:name="X67b5eaed4170d960719e22d2d71f4085280e214"/>
    <w:p>
      <w:pPr>
        <w:pStyle w:val="Heading3"/>
      </w:pPr>
      <w:r>
        <w:t xml:space="preserve">3. Portfolio pruning — proceeds and completion timeline</w:t>
      </w:r>
    </w:p>
    <w:p>
      <w:pPr>
        <w:pStyle w:val="FirstParagraph"/>
      </w:pPr>
      <w:r>
        <w:t xml:space="preserve">Omnicom is shedding roughly $3.2 billion of annual revenue, of which approximately $1 billion was disposed of in the first quarter, with the rest targeted for sale/exit "over the next several quarters." Two nuances flagged last quarter:</w:t>
      </w:r>
    </w:p>
    <w:p>
      <w:pPr>
        <w:pStyle w:val="Compact"/>
        <w:numPr>
          <w:ilvl w:val="0"/>
          <w:numId w:val="1002"/>
        </w:numPr>
      </w:pPr>
      <w:r>
        <w:t xml:space="preserve">Management conceded the held-for-sale margins are</w:t>
      </w:r>
      <w:r>
        <w:t xml:space="preserve"> </w:t>
      </w:r>
      <w:r>
        <w:rPr>
          <w:b/>
          <w:bCs/>
        </w:rPr>
        <w:t xml:space="preserve">below</w:t>
      </w:r>
      <w:r>
        <w:t xml:space="preserve"> </w:t>
      </w:r>
      <w:r>
        <w:t xml:space="preserve">the ~10% earlier guided: It turns out that the margins of these businesses are probably not 10%. They're probably something less.</w:t>
      </w:r>
    </w:p>
    <w:p>
      <w:pPr>
        <w:pStyle w:val="Compact"/>
        <w:numPr>
          <w:ilvl w:val="0"/>
          <w:numId w:val="1002"/>
        </w:numPr>
      </w:pPr>
      <w:r>
        <w:t xml:space="preserve">Proceeds are hard to model; the first big sale (Jack Morton) generated cash but management cautioned it will generate additional cash rather than materially boost net income. Progress on clearing this "noise" is a sentiment positive since it clarifies the go-forward earnings power.</w:t>
      </w:r>
    </w:p>
    <w:bookmarkEnd w:id="14"/>
    <w:bookmarkStart w:id="15" w:name="Xc9543b79581f72b87942b341b365868287c8b3e"/>
    <w:p>
      <w:pPr>
        <w:pStyle w:val="Heading3"/>
      </w:pPr>
      <w:r>
        <w:t xml:space="preserve">4. Capital return</w:t>
      </w:r>
    </w:p>
    <w:p>
      <w:pPr>
        <w:pStyle w:val="FirstParagraph"/>
      </w:pPr>
      <w:r>
        <w:t xml:space="preserve">This is a core part of the EPS-growth engine. Omnicom is running a $5 billion in share repurchases over the next 12 months, including a $2.5 billion accelerated share repurchase program, and had already repurchased $2.8 billion of shares through the first quarter. Management guided that share count decline approximately 11% to 12% by December 31, 2026, and that weighted average shares outstanding for the year will decline approximately 8% to 9%. The dividend was also raised (~14% to $0.80/quarter). Expect buyback pace to be a meaningful EPS tailwind in Q2.</w:t>
      </w:r>
    </w:p>
    <w:bookmarkEnd w:id="15"/>
    <w:bookmarkStart w:id="16" w:name="X83efe050c6f603ae95f4946891ebc027a85f60c"/>
    <w:p>
      <w:pPr>
        <w:pStyle w:val="Heading3"/>
      </w:pPr>
      <w:r>
        <w:t xml:space="preserve">5. The EPS trajectory / guidance tone</w:t>
      </w:r>
    </w:p>
    <w:p>
      <w:pPr>
        <w:pStyle w:val="FirstParagraph"/>
      </w:pPr>
      <w:r>
        <w:t xml:space="preserve">Management was unusually pointed about the back half. On EPS growth after Q1's ~11.8%: we expect probably the quarters as they roll out are going to be higher double digits than the first quarter performance. That framing is why consensus has Q2 growth near ~29%. The risk is that expectations are now elevated — a mere in-line print may underwhelm given the setup.</w:t>
      </w:r>
    </w:p>
    <w:p>
      <w:r>
        <w:pict>
          <v:rect style="width:0;height:1.5pt" o:hralign="center" o:hrstd="t" o:hr="t"/>
        </w:pict>
      </w:r>
    </w:p>
    <w:bookmarkEnd w:id="16"/>
    <w:bookmarkEnd w:id="17"/>
    <w:bookmarkStart w:id="18" w:name="Xcbfee6cb0a376d63ab0e1afc0a50cdc02e6907d"/>
    <w:p>
      <w:pPr>
        <w:pStyle w:val="Heading2"/>
      </w:pPr>
      <w:r>
        <w:t xml:space="preserve">Balance sheet / below-the-line watch items</w:t>
      </w:r>
    </w:p>
    <w:p>
      <w:pPr>
        <w:pStyle w:val="Compact"/>
        <w:numPr>
          <w:ilvl w:val="0"/>
          <w:numId w:val="1003"/>
        </w:numPr>
      </w:pPr>
      <w:r>
        <w:rPr>
          <w:b/>
          <w:bCs/>
        </w:rPr>
        <w:t xml:space="preserve">Leverage:</w:t>
      </w:r>
      <w:r>
        <w:t xml:space="preserve"> </w:t>
      </w:r>
      <w:r>
        <w:t xml:space="preserve">total debt/pro-forma adjusted EBITDA of 2.5x per credit-agreement definition; gross long-term debt ~$10.2B with the next maturity not until July 2027.</w:t>
      </w:r>
    </w:p>
    <w:p>
      <w:pPr>
        <w:pStyle w:val="Compact"/>
        <w:numPr>
          <w:ilvl w:val="0"/>
          <w:numId w:val="1003"/>
        </w:numPr>
      </w:pPr>
      <w:r>
        <w:rPr>
          <w:b/>
          <w:bCs/>
        </w:rPr>
        <w:t xml:space="preserve">Interest expense headwind:</w:t>
      </w:r>
      <w:r>
        <w:t xml:space="preserve"> </w:t>
      </w:r>
      <w:r>
        <w:t xml:space="preserve">management guided net interest expense is expected to increase by approximately $200 million in 2026 compared to 2025, reflecting assumed IPG debt plus refinancing — a real drag on GAAP EPS to keep in mind.</w:t>
      </w:r>
    </w:p>
    <w:p>
      <w:pPr>
        <w:pStyle w:val="Compact"/>
        <w:numPr>
          <w:ilvl w:val="0"/>
          <w:numId w:val="1003"/>
        </w:numPr>
      </w:pPr>
      <w:r>
        <w:rPr>
          <w:b/>
          <w:bCs/>
        </w:rPr>
        <w:t xml:space="preserve">FX:</w:t>
      </w:r>
      <w:r>
        <w:t xml:space="preserve"> </w:t>
      </w:r>
      <w:r>
        <w:t xml:space="preserve">a modest tailwind — management expects FX to benefit our reported revenue for the year by approximately 1%.</w:t>
      </w:r>
    </w:p>
    <w:p>
      <w:pPr>
        <w:pStyle w:val="Compact"/>
        <w:numPr>
          <w:ilvl w:val="0"/>
          <w:numId w:val="1003"/>
        </w:numPr>
      </w:pPr>
      <w:r>
        <w:rPr>
          <w:b/>
          <w:bCs/>
        </w:rPr>
        <w:t xml:space="preserve">Tax:</w:t>
      </w:r>
      <w:r>
        <w:t xml:space="preserve"> </w:t>
      </w:r>
      <w:r>
        <w:t xml:space="preserve">~26% adjusted rate expected for the year.</w:t>
      </w:r>
    </w:p>
    <w:p>
      <w:r>
        <w:pict>
          <v:rect style="width:0;height:1.5pt" o:hralign="center" o:hrstd="t" o:hr="t"/>
        </w:pict>
      </w:r>
    </w:p>
    <w:bookmarkEnd w:id="18"/>
    <w:bookmarkStart w:id="19" w:name="Xfb8d15b213209490bb16840fab94a2bbb58e8c6"/>
    <w:p>
      <w:pPr>
        <w:pStyle w:val="Heading2"/>
      </w:pPr>
      <w:r>
        <w:t xml:space="preserve">Strategic narrative to listen for on the call</w:t>
      </w:r>
    </w:p>
    <w:p>
      <w:pPr>
        <w:pStyle w:val="Compact"/>
        <w:numPr>
          <w:ilvl w:val="0"/>
          <w:numId w:val="1004"/>
        </w:numPr>
      </w:pPr>
      <w:r>
        <w:rPr>
          <w:b/>
          <w:bCs/>
        </w:rPr>
        <w:t xml:space="preserve">Omni / Agentic AI:</w:t>
      </w:r>
      <w:r>
        <w:t xml:space="preserve"> </w:t>
      </w:r>
      <w:r>
        <w:t xml:space="preserve">the centerpiece of the growth pitch. Management says it has scaled our next generation of Omni across the entire organization in Q1 and is pushing "agentic" media buying to shorten the media supply chain and disintermediate the "messy middle." Expect updated proof points and any client-outcome/monetization detail.</w:t>
      </w:r>
    </w:p>
    <w:p>
      <w:pPr>
        <w:pStyle w:val="Compact"/>
        <w:numPr>
          <w:ilvl w:val="0"/>
          <w:numId w:val="1004"/>
        </w:numPr>
      </w:pPr>
      <w:r>
        <w:rPr>
          <w:b/>
          <w:bCs/>
        </w:rPr>
        <w:t xml:space="preserve">Acxiom / proprietary data &amp; identity</w:t>
      </w:r>
      <w:r>
        <w:t xml:space="preserve"> </w:t>
      </w:r>
      <w:r>
        <w:t xml:space="preserve">as a competitive moat.</w:t>
      </w:r>
    </w:p>
    <w:p>
      <w:pPr>
        <w:pStyle w:val="Compact"/>
        <w:numPr>
          <w:ilvl w:val="0"/>
          <w:numId w:val="1004"/>
        </w:numPr>
      </w:pPr>
      <w:r>
        <w:rPr>
          <w:b/>
          <w:bCs/>
        </w:rPr>
        <w:t xml:space="preserve">New business momentum:</w:t>
      </w:r>
      <w:r>
        <w:t xml:space="preserve"> </w:t>
      </w:r>
      <w:r>
        <w:t xml:space="preserve">Q1 wins cited included IBM, GSK, John Deere, Little Caesars, Acadia Pharmaceuticals and Baileys, plus expanded integrated relationships (Clorox, Delta, Kroger, Merck, Unilever). Net new business and any large account movement (wins</w:t>
      </w:r>
      <w:r>
        <w:t xml:space="preserve"> </w:t>
      </w:r>
      <w:r>
        <w:rPr>
          <w:i/>
          <w:iCs/>
        </w:rPr>
        <w:t xml:space="preserve">and</w:t>
      </w:r>
      <w:r>
        <w:t xml:space="preserve"> </w:t>
      </w:r>
      <w:r>
        <w:t xml:space="preserve">losses) will be scrutinized given a competitor's recent new-business "revival" that came up last quarter.</w:t>
      </w:r>
    </w:p>
    <w:p>
      <w:r>
        <w:pict>
          <v:rect style="width:0;height:1.5pt" o:hralign="center" o:hrstd="t" o:hr="t"/>
        </w:pict>
      </w:r>
    </w:p>
    <w:bookmarkEnd w:id="19"/>
    <w:bookmarkStart w:id="20" w:name="stock-context"/>
    <w:p>
      <w:pPr>
        <w:pStyle w:val="Heading2"/>
      </w:pPr>
      <w:r>
        <w:t xml:space="preserve">Stock context</w:t>
      </w:r>
    </w:p>
    <w:p>
      <w:pPr>
        <w:pStyle w:val="FirstParagraph"/>
      </w:pPr>
      <w:r>
        <w:t xml:space="preserve">OMC has been a choppy but net-positive performer since the deal closed: shares are roughly</w:t>
      </w:r>
      <w:r>
        <w:t xml:space="preserve"> </w:t>
      </w:r>
      <w:r>
        <w:rPr>
          <w:b/>
          <w:bCs/>
        </w:rPr>
        <w:t xml:space="preserve">flat YTD (~+2%)</w:t>
      </w:r>
      <w:r>
        <w:t xml:space="preserve"> </w:t>
      </w:r>
      <w:r>
        <w:t xml:space="preserve">at ~$82, but up ~</w:t>
      </w:r>
      <w:r>
        <w:rPr>
          <w:b/>
          <w:bCs/>
        </w:rPr>
        <w:t xml:space="preserve">21%</w:t>
      </w:r>
      <w:r>
        <w:t xml:space="preserve"> </w:t>
      </w:r>
      <w:r>
        <w:t xml:space="preserve">off the early-February low near $68. Notably, the Q4 2025 report drove a **~15% single-day pop**, showing how sensitive the stock is to integration/margin data points. The read-across from struggling peer WPP (near multi-year lows) versus a steadier Publicis frames the debate: is Omnicom's scale-plus-data model taking share, or is the whole traditional-agency complex under structural AI pressure?</w:t>
      </w:r>
    </w:p>
    <w:p>
      <w:r>
        <w:pict>
          <v:rect style="width:0;height:1.5pt" o:hralign="center" o:hrstd="t" o:hr="t"/>
        </w:pict>
      </w:r>
    </w:p>
    <w:bookmarkEnd w:id="20"/>
    <w:bookmarkStart w:id="21" w:name="bottom-line--how-to-judge-the-print"/>
    <w:p>
      <w:pPr>
        <w:pStyle w:val="Heading2"/>
      </w:pPr>
      <w:r>
        <w:t xml:space="preserve">Bottom line — how to judge the print</w:t>
      </w:r>
    </w:p>
    <w:p>
      <w:pPr>
        <w:pStyle w:val="FirstParagraph"/>
      </w:pPr>
      <w:r>
        <w:t xml:space="preserve">A "good" quarter looks like:</w:t>
      </w:r>
      <w:r>
        <w:t xml:space="preserve"> </w:t>
      </w:r>
      <w:r>
        <w:rPr>
          <w:b/>
          <w:bCs/>
        </w:rPr>
        <w:t xml:space="preserve">core organic growth at/above ~4%</w:t>
      </w:r>
      <w:r>
        <w:t xml:space="preserve"> </w:t>
      </w:r>
      <w:r>
        <w:t xml:space="preserve">(with advertising stabilizing),</w:t>
      </w:r>
      <w:r>
        <w:t xml:space="preserve"> </w:t>
      </w:r>
      <w:r>
        <w:rPr>
          <w:b/>
          <w:bCs/>
        </w:rPr>
        <w:t xml:space="preserve">another leg of margin expansion</w:t>
      </w:r>
      <w:r>
        <w:t xml:space="preserve"> </w:t>
      </w:r>
      <w:r>
        <w:t xml:space="preserve">from synergies,</w:t>
      </w:r>
      <w:r>
        <w:t xml:space="preserve"> </w:t>
      </w:r>
      <w:r>
        <w:rPr>
          <w:b/>
          <w:bCs/>
        </w:rPr>
        <w:t xml:space="preserve">continued buyback-driven share-count reduction</w:t>
      </w:r>
      <w:r>
        <w:t xml:space="preserve">, visible</w:t>
      </w:r>
      <w:r>
        <w:t xml:space="preserve"> </w:t>
      </w:r>
      <w:r>
        <w:rPr>
          <w:b/>
          <w:bCs/>
        </w:rPr>
        <w:t xml:space="preserve">progress on dispositions</w:t>
      </w:r>
      <w:r>
        <w:t xml:space="preserve">, and management</w:t>
      </w:r>
      <w:r>
        <w:t xml:space="preserve"> </w:t>
      </w:r>
      <w:r>
        <w:rPr>
          <w:b/>
          <w:bCs/>
        </w:rPr>
        <w:t xml:space="preserve">reiterating or nudging up</w:t>
      </w:r>
      <w:r>
        <w:t xml:space="preserve"> </w:t>
      </w:r>
      <w:r>
        <w:t xml:space="preserve">the "higher double-digit" EPS-growth framing. The bar is not trivial — consensus already embeds ~29% adjusted EPS growth — so the risk skews toward "beat-and-hold" unless organic acceleration or a synergy raise gives the market something genuinely new. Given the merger noise, treat headline reported growth as cosmetic and anchor on the core-operations disclosures.</w:t>
      </w:r>
    </w:p>
    <w:p>
      <w:pPr>
        <w:pStyle w:val="BodyText"/>
      </w:pPr>
      <w:r>
        <w:rPr>
          <w:i/>
          <w:iCs/>
        </w:rPr>
        <w:t xml:space="preserve">Note: figures above combine Omnicom's Q1 2026 disclosures/earnings materials with third-party consensus estimates gathered from public sources; consensus numbers can vary by data provider.</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2026-07-28T01:11:12Z</dcterms:created>
  <dcterms:modified xsi:type="dcterms:W3CDTF">2026-07-28T01:11:12Z</dcterms:modified>
</cp:coreProperties>
</file>

<file path=docProps/custom.xml><?xml version="1.0" encoding="utf-8"?>
<Properties xmlns="http://schemas.openxmlformats.org/officeDocument/2006/custom-properties" xmlns:vt="http://schemas.openxmlformats.org/officeDocument/2006/docPropsVTypes"/>
</file>