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d24846b2602a5d769859b9714525a129d292924"/>
    <w:p>
      <w:pPr>
        <w:pStyle w:val="Heading1"/>
      </w:pPr>
      <w:r>
        <w:t xml:space="preserve">Omnicom Group (OMC)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July 28, 2026 (after market close)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4:30 p.m. ET |</w:t>
      </w:r>
      <w:r>
        <w:t xml:space="preserve"> </w:t>
      </w:r>
      <w:r>
        <w:rPr>
          <w:b/>
          <w:bCs/>
        </w:rPr>
        <w:t xml:space="preserve">Last Close:</w:t>
      </w:r>
      <w:r>
        <w:t xml:space="preserve"> </w:t>
      </w:r>
      <w:r>
        <w:t xml:space="preserve">~$82.43</w:t>
      </w:r>
    </w:p>
    <w:p>
      <w:r>
        <w:pict>
          <v:rect style="width:0;height:1.5pt" o:hralign="center" o:hrstd="t" o:hr="t"/>
        </w:pict>
      </w:r>
    </w:p>
    <w:bookmarkStart w:id="9" w:name="X9e86825dd285a243b6960d67722805b237bff89"/>
    <w:p>
      <w:pPr>
        <w:pStyle w:val="Heading2"/>
      </w:pPr>
      <w:r>
        <w:t xml:space="preserve">The Setup: This Is Still "The New Omnicom" Story</w:t>
      </w:r>
    </w:p>
    <w:p>
      <w:pPr>
        <w:pStyle w:val="FirstParagraph"/>
      </w:pPr>
      <w:r>
        <w:t xml:space="preserve">Omnicom's Q2 2026 print is only the second full quarterly report since the transformative</w:t>
      </w:r>
      <w:r>
        <w:t xml:space="preserve"> </w:t>
      </w:r>
      <w:r>
        <w:rPr>
          <w:b/>
          <w:bCs/>
        </w:rPr>
        <w:t xml:space="preserve">Interpublic Group (IPG) acquisition closed on November 26, 2025</w:t>
      </w:r>
      <w:r>
        <w:t xml:space="preserve">, roughly tripling the reporting complexity investors have to work through (core vs. non-core, combined vs. reported, organic vs. FX vs. M&amp;A). The central question for this print is simple:</w:t>
      </w:r>
      <w:r>
        <w:t xml:space="preserve"> </w:t>
      </w:r>
      <w:r>
        <w:rPr>
          <w:b/>
          <w:bCs/>
        </w:rPr>
        <w:t xml:space="preserve">is the integration story tracking ahead of, in line with, or behind plan</w:t>
      </w:r>
      <w:r>
        <w:t xml:space="preserve"> </w:t>
      </w:r>
      <w:r>
        <w:t xml:space="preserve">on the four pillars management laid out at the Q4 call, March Investor Day, and Q1 call — organic growth, synergy capture/margins, portfolio disposals, and capital return.</w:t>
      </w:r>
    </w:p>
    <w:bookmarkEnd w:id="9"/>
    <w:bookmarkStart w:id="10" w:name="q1-2026-recap-the-baseline-to-beat"/>
    <w:p>
      <w:pPr>
        <w:pStyle w:val="Heading2"/>
      </w:pPr>
      <w:r>
        <w:t xml:space="preserve">Q1 2026 Recap (the baseline to beat)</w:t>
      </w:r>
    </w:p>
    <w:p>
      <w:pPr>
        <w:pStyle w:val="FirstParagraph"/>
      </w:pPr>
      <w:r>
        <w:t xml:space="preserve">Q1 was the first "clean" quarter with a full 90 days of combined operations, and it set a high bar:</w:t>
      </w:r>
    </w:p>
    <w:p>
      <w:pPr>
        <w:pStyle w:val="Compact"/>
        <w:numPr>
          <w:ilvl w:val="0"/>
          <w:numId w:val="1001"/>
        </w:numPr>
      </w:pPr>
      <w:r>
        <w:t xml:space="preserve">Core operations (ex-dispositions/held-for-sale) revenue of</w:t>
      </w:r>
      <w:r>
        <w:t xml:space="preserve"> </w:t>
      </w:r>
      <m:oMath>
        <m:r>
          <m:t>5.6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3.9</m:t>
        </m:r>
      </m:oMath>
      <w:r>
        <w:rPr>
          <w:b/>
          <w:bCs/>
        </w:rPr>
        <w:t xml:space="preserve">6.2 billion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Adjusted EBITA margin on core operations expanded</w:t>
      </w:r>
      <w:r>
        <w:t xml:space="preserve"> </w:t>
      </w:r>
      <w:r>
        <w:rPr>
          <w:b/>
          <w:bCs/>
        </w:rPr>
        <w:t xml:space="preserve">240 bps to 14.8%</w:t>
      </w:r>
      <w:r>
        <w:t xml:space="preserve">, driven mainly by cost synergies.</w:t>
      </w:r>
    </w:p>
    <w:p>
      <w:pPr>
        <w:pStyle w:val="Compact"/>
        <w:numPr>
          <w:ilvl w:val="0"/>
          <w:numId w:val="1001"/>
        </w:numPr>
      </w:pPr>
      <w:r>
        <w:t xml:space="preserve">Non-GAAP adjusted diluted EPS of</w:t>
      </w:r>
      <w:r>
        <w:t xml:space="preserve"> </w:t>
      </w:r>
      <w:r>
        <w:rPr>
          <w:b/>
          <w:bCs/>
        </w:rPr>
        <w:t xml:space="preserve">$1.90, up 11.8%</w:t>
      </w:r>
      <w:r>
        <w:t xml:space="preserve"> </w:t>
      </w:r>
      <w:r>
        <w:t xml:space="preserve">y/y; GAAP diluted EPS was</w:t>
      </w:r>
      <w:r>
        <w:t xml:space="preserve"> </w:t>
      </w:r>
      <m:oMath>
        <m:r>
          <m:t>1.35</m:t>
        </m:r>
        <m:r>
          <m:rPr>
            <m:sty m:val="p"/>
          </m:rPr>
          <m:t>,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e</m:t>
        </m:r>
        <m:r>
          <m:t>d</m:t>
        </m:r>
        <m:r>
          <m:t>d</m:t>
        </m:r>
        <m:r>
          <m:t>o</m:t>
        </m:r>
        <m:r>
          <m:t>w</m:t>
        </m:r>
        <m:r>
          <m:t>n</m:t>
        </m:r>
        <m:r>
          <m:t>b</m:t>
        </m:r>
        <m:r>
          <m:t>y</m:t>
        </m:r>
        <m:r>
          <m:t> </m:t>
        </m:r>
      </m:oMath>
      <w:r>
        <w:t xml:space="preserve">0.26/share of integration costs, disposition losses, and repositioning charges.</w:t>
      </w:r>
    </w:p>
    <w:p>
      <w:pPr>
        <w:pStyle w:val="Compact"/>
        <w:numPr>
          <w:ilvl w:val="0"/>
          <w:numId w:val="1001"/>
        </w:numPr>
      </w:pPr>
      <w:r>
        <w:t xml:space="preserve">By discipline, Integrated Media (now ~52% of core revenue) grew high-single-digits, PR and Experiential grew mid-single-digits, Health was modestly positive, and</w:t>
      </w:r>
      <w:r>
        <w:t xml:space="preserve"> </w:t>
      </w:r>
      <w:r>
        <w:rPr>
          <w:b/>
          <w:bCs/>
        </w:rPr>
        <w:t xml:space="preserve">Advertising declined</w:t>
      </w:r>
      <w:r>
        <w:t xml:space="preserve"> </w:t>
      </w:r>
      <w:r>
        <w:t xml:space="preserve">— a mix investors will want to see stabilize or improve in Q2.</w:t>
      </w:r>
    </w:p>
    <w:p>
      <w:pPr>
        <w:pStyle w:val="Compact"/>
        <w:numPr>
          <w:ilvl w:val="0"/>
          <w:numId w:val="1001"/>
        </w:numPr>
      </w:pPr>
      <w:r>
        <w:t xml:space="preserve">Management reiterated full-year targets:</w:t>
      </w:r>
      <w:r>
        <w:t xml:space="preserve"> </w:t>
      </w:r>
      <w:r>
        <w:rPr>
          <w:b/>
          <w:bCs/>
        </w:rPr>
        <w:t xml:space="preserve">$900 million of 2026 cost synergies</w:t>
      </w:r>
      <w:r>
        <w:t xml:space="preserve"> </w:t>
      </w:r>
      <w:r>
        <w:t xml:space="preserve">(of a</w:t>
      </w:r>
      <w:r>
        <w:t xml:space="preserve"> </w:t>
      </w:r>
      <m:oMath>
        <m:r>
          <m:t>1.5</m:t>
        </m:r>
        <m:r>
          <m:t>B</m:t>
        </m:r>
        <m:r>
          <m:t>b</m:t>
        </m:r>
        <m:r>
          <m:t>y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2028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 billion share buyback** to be completed over 12 months (with $2.8B already executed via an ASR through Q1), and</w:t>
      </w:r>
      <w:r>
        <w:t xml:space="preserve"> </w:t>
      </w:r>
      <w:r>
        <w:rPr>
          <w:b/>
          <w:bCs/>
        </w:rPr>
        <w:t xml:space="preserve">double-digit adjusted EPS growth</w:t>
      </w:r>
      <w:r>
        <w:t xml:space="preserve">, with CFO Phil Angelastro explicitly guiding that "the quarters as they roll out are going to be higher double digits than the first quarter performance."</w:t>
      </w:r>
    </w:p>
    <w:bookmarkEnd w:id="10"/>
    <w:bookmarkStart w:id="11" w:name="what-to-watch-in-the-q2-print"/>
    <w:p>
      <w:pPr>
        <w:pStyle w:val="Heading2"/>
      </w:pPr>
      <w:r>
        <w:t xml:space="preserve">What to Watch in the Q2 Print</w:t>
      </w:r>
    </w:p>
    <w:p>
      <w:pPr>
        <w:pStyle w:val="FirstParagraph"/>
      </w:pPr>
      <w:r>
        <w:rPr>
          <w:b/>
          <w:bCs/>
        </w:rPr>
        <w:t xml:space="preserve">1. Organic growth trajectory and discipline mix.</w:t>
      </w:r>
      <w:r>
        <w:t xml:space="preserve"> </w:t>
      </w:r>
      <w:r>
        <w:t xml:space="preserve">Investors will look for whether Integrated Media sustains high-single-digit growth, whether Advertising's Q1 decline reverses, and whether the reaffirmed ~4% constant-currency 2026 growth target (from Investor Day) is holding. Peer read-through is constructive:</w:t>
      </w:r>
      <w:r>
        <w:t xml:space="preserve"> </w:t>
      </w:r>
      <w:r>
        <w:rPr>
          <w:b/>
          <w:bCs/>
        </w:rPr>
        <w:t xml:space="preserve">Publicis Groupe's Q2 organic growth accelerated to +4.8% (from +4.5% in Q1), prompting an upgrade to full-year guidance</w:t>
      </w:r>
      <w:r>
        <w:t xml:space="preserve"> </w:t>
      </w:r>
      <w:r>
        <w:t xml:space="preserve">— a signal that agency-holding-company demand, at least at the top end, remains resilient.</w:t>
      </w:r>
    </w:p>
    <w:p>
      <w:pPr>
        <w:pStyle w:val="BodyText"/>
      </w:pPr>
      <w:r>
        <w:rPr>
          <w:b/>
          <w:bCs/>
        </w:rPr>
        <w:t xml:space="preserve">2. Synergy capture and margin expansion.</w:t>
      </w:r>
      <w:r>
        <w:t xml:space="preserve"> </w:t>
      </w:r>
      <w:r>
        <w:t xml:space="preserve">With ~75–80% of the $900M 2026 synergy target expected to flow through to EBITDA, another quarter of double-digit-plus EBITA growth and continued margin expansion (Q1 was 14.8% core EBITA margin, up 240 bps) would validate the integration thesis.</w:t>
      </w:r>
    </w:p>
    <w:p>
      <w:pPr>
        <w:pStyle w:val="BodyText"/>
      </w:pPr>
      <w:r>
        <w:rPr>
          <w:b/>
          <w:bCs/>
        </w:rPr>
        <w:t xml:space="preserve">3. Disposal progress.</w:t>
      </w:r>
      <w:r>
        <w:t xml:space="preserve"> </w:t>
      </w:r>
      <w:r>
        <w:t xml:space="preserve">Omnicom identified ~$3.2 billion of annual revenue tied to businesses being held for sale/exit (roughly $1B already disposed of in Q1, including the Jack Morton experiential unit). Watch for updated disposal proceeds and timeline color — management has been cagey on exact cash proceeds but stressed these sales are a near-term priority.</w:t>
      </w:r>
    </w:p>
    <w:p>
      <w:pPr>
        <w:pStyle w:val="BodyText"/>
      </w:pPr>
      <w:r>
        <w:rPr>
          <w:b/>
          <w:bCs/>
        </w:rPr>
        <w:t xml:space="preserve">4. Capital return cadence.</w:t>
      </w:r>
      <w:r>
        <w:t xml:space="preserve"> </w:t>
      </w:r>
      <w:r>
        <w:t xml:space="preserve">The $5B buyback authorization (targeted for completion by ~April 2027) had $2.8B executed through Q1; expect continued heavy repurchase activity plus commentary on the 15% dividend increase already enacted. Share count is expected to fall ~11–12% by year-end 2026 versus December 2025.</w:t>
      </w:r>
    </w:p>
    <w:p>
      <w:pPr>
        <w:pStyle w:val="BodyText"/>
      </w:pPr>
      <w:r>
        <w:rPr>
          <w:b/>
          <w:bCs/>
        </w:rPr>
        <w:t xml:space="preserve">5. Balance sheet / interest costs.</w:t>
      </w:r>
      <w:r>
        <w:t xml:space="preserve"> </w:t>
      </w:r>
      <w:r>
        <w:t xml:space="preserve">Gross debt stood at $10.2B at Q1-end (post</w:t>
      </w:r>
      <w:r>
        <w:t xml:space="preserve"> </w:t>
      </w:r>
      <m:oMath>
        <m:r>
          <m:t>2.3</m:t>
        </m:r>
        <m:r>
          <m:t>B</m:t>
        </m:r>
        <m:r>
          <m:t>r</m:t>
        </m:r>
        <m:r>
          <m:t>e</m:t>
        </m:r>
        <m:r>
          <m:t>f</m:t>
        </m:r>
        <m:r>
          <m:t>i</m:t>
        </m:r>
        <m:r>
          <m:t>n</m:t>
        </m:r>
        <m:r>
          <m:t>a</m:t>
        </m:r>
        <m:r>
          <m:t>n</m:t>
        </m:r>
        <m:r>
          <m:t>c</m:t>
        </m:r>
        <m:r>
          <m:t>i</m:t>
        </m:r>
        <m:r>
          <m:t>n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n</m:t>
        </m:r>
        <m:r>
          <m:t>e</m:t>
        </m:r>
        <m:r>
          <m:t>t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e</m:t>
        </m:r>
        <m:r>
          <m:t>s</m:t>
        </m:r>
        <m:r>
          <m:t>t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t>r</m:t>
        </m:r>
        <m:r>
          <m:t>i</m:t>
        </m:r>
        <m:r>
          <m:t>s</m:t>
        </m:r>
        <m:r>
          <m:t>e</m:t>
        </m:r>
        <m:r>
          <m:t> </m:t>
        </m:r>
      </m:oMath>
      <w:r>
        <w:t xml:space="preserve">200M in 2026 versus 2025. Leverage was 2.5x at Q1-end on a credit-agreement pro forma basis, targeted toward ~2.4x by year-end.</w:t>
      </w:r>
    </w:p>
    <w:bookmarkEnd w:id="11"/>
    <w:bookmarkStart w:id="12" w:name="consensus-expectations"/>
    <w:p>
      <w:pPr>
        <w:pStyle w:val="Heading2"/>
      </w:pPr>
      <w:r>
        <w:t xml:space="preserve">Consensus Expectations</w:t>
      </w:r>
    </w:p>
    <w:p>
      <w:pPr>
        <w:pStyle w:val="Compact"/>
        <w:numPr>
          <w:ilvl w:val="0"/>
          <w:numId w:val="1002"/>
        </w:numPr>
      </w:pPr>
      <w:r>
        <w:t xml:space="preserve">Analysts are modeling</w:t>
      </w:r>
      <w:r>
        <w:t xml:space="preserve"> </w:t>
      </w:r>
      <w:r>
        <w:rPr>
          <w:b/>
          <w:bCs/>
        </w:rPr>
        <w:t xml:space="preserve">Q2 2026 adjusted EPS of roughly $2.64, up ~28.8%</w:t>
      </w:r>
      <w:r>
        <w:t xml:space="preserve"> </w:t>
      </w:r>
      <w:r>
        <w:t xml:space="preserve">from $2.05 a year ago, and revenue growth of roughly</w:t>
      </w:r>
      <w:r>
        <w:t xml:space="preserve"> </w:t>
      </w:r>
      <w:r>
        <w:rPr>
          <w:b/>
          <w:bCs/>
        </w:rPr>
        <w:t xml:space="preserve">60% y/y</w:t>
      </w:r>
      <w:r>
        <w:t xml:space="preserve"> </w:t>
      </w:r>
      <w:r>
        <w:t xml:space="preserve">(versus Q1's reported 69.2% growth), reflecting the first full comparable period against a partial-IPG base.</w:t>
      </w:r>
    </w:p>
    <w:p>
      <w:pPr>
        <w:pStyle w:val="Compact"/>
        <w:numPr>
          <w:ilvl w:val="0"/>
          <w:numId w:val="1002"/>
        </w:numPr>
      </w:pPr>
      <w:r>
        <w:t xml:space="preserve">Full-year 2026 consensus adjusted EPS sits around</w:t>
      </w:r>
      <w:r>
        <w:t xml:space="preserve"> </w:t>
      </w:r>
      <m:oMath>
        <m:r>
          <m:t>10.97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26.8</m:t>
        </m:r>
      </m:oMath>
      <w:r>
        <w:rPr>
          <w:b/>
          <w:bCs/>
        </w:rPr>
        <w:t xml:space="preserve">12.53 (+14.2%)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Sell-side sentiment is a "Moderate Buy," with a mix of Buy/Hold ratings and average price targets in the</w:t>
      </w:r>
      <w:r>
        <w:t xml:space="preserve"> </w:t>
      </w:r>
      <m:oMath>
        <m:r>
          <m:t>100</m:t>
        </m:r>
        <m:r>
          <m:rPr>
            <m:sty m:val="p"/>
          </m:rPr>
          <m:t>–</m:t>
        </m:r>
      </m:oMath>
      <w:r>
        <w:rPr>
          <w:b/>
          <w:bCs/>
        </w:rPr>
        <w:t xml:space="preserve">103 range</w:t>
      </w:r>
      <w:r>
        <w:t xml:space="preserve"> </w:t>
      </w:r>
      <w:r>
        <w:t xml:space="preserve">— well above the current ~</w:t>
      </w:r>
      <m:oMath>
        <m:r>
          <m:t>82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rPr>
            <m:sty m:val="p"/>
          </m:rPr>
          <m:t>,</m:t>
        </m:r>
        <m:r>
          <m:t>i</m:t>
        </m:r>
        <m:r>
          <m:t>m</m:t>
        </m:r>
        <m:r>
          <m:t>p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r</m:t>
        </m:r>
        <m:r>
          <m:t>e</m:t>
        </m:r>
        <m:r>
          <m:t>e</m:t>
        </m:r>
        <m:r>
          <m:t>t</m:t>
        </m:r>
        <m:r>
          <m:t>s</m:t>
        </m:r>
        <m:r>
          <m:t>e</m:t>
        </m:r>
        <m:r>
          <m:t>e</m:t>
        </m:r>
        <m:r>
          <m:t>s</m:t>
        </m:r>
        <m:r>
          <m:t>m</m:t>
        </m:r>
        <m:r>
          <m:t>e</m:t>
        </m:r>
        <m:r>
          <m:t>a</m:t>
        </m:r>
        <m:r>
          <m:t>n</m:t>
        </m:r>
        <m:r>
          <m:t>i</m:t>
        </m:r>
        <m:r>
          <m:t>n</m:t>
        </m:r>
        <m:r>
          <m:t>g</m:t>
        </m:r>
        <m:r>
          <m:t>f</m:t>
        </m:r>
        <m:r>
          <m:t>u</m:t>
        </m:r>
        <m:r>
          <m:t>l</m:t>
        </m:r>
        <m:r>
          <m:t>r</m:t>
        </m:r>
        <m:r>
          <m:t>e</m:t>
        </m:r>
        <m:r>
          <m:rPr>
            <m:sty m:val="p"/>
          </m:rPr>
          <m:t>−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p</m:t>
        </m:r>
        <m:r>
          <m:t>o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i</m:t>
        </m:r>
        <m:r>
          <m:t>f</m:t>
        </m:r>
        <m:r>
          <m:t>i</m:t>
        </m:r>
        <m:r>
          <m:t>n</m:t>
        </m:r>
        <m:r>
          <m:t>t</m:t>
        </m:r>
        <m:r>
          <m:t>e</m:t>
        </m:r>
        <m:r>
          <m:t>g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e</m:t>
        </m:r>
        <m:r>
          <m:t>x</m:t>
        </m:r>
        <m:r>
          <m:t>e</m:t>
        </m:r>
        <m:r>
          <m:t>c</m:t>
        </m:r>
        <m:r>
          <m:t>u</m:t>
        </m:r>
        <m:r>
          <m:t>t</m:t>
        </m:r>
        <m:r>
          <m:t>i</m:t>
        </m:r>
        <m:r>
          <m:t>o</m:t>
        </m:r>
        <m:r>
          <m:t>n</m:t>
        </m:r>
        <m:r>
          <m:t>c</m:t>
        </m:r>
        <m:r>
          <m:t>o</m:t>
        </m:r>
        <m:r>
          <m:t>n</m:t>
        </m:r>
        <m:r>
          <m:t>t</m:t>
        </m:r>
        <m:r>
          <m:t>i</m:t>
        </m:r>
        <m:r>
          <m:t>n</m:t>
        </m:r>
        <m:r>
          <m:t>u</m:t>
        </m:r>
        <m:r>
          <m:t>e</m:t>
        </m:r>
        <m:r>
          <m:t>s</m:t>
        </m:r>
        <m:r>
          <m:t>o</m:t>
        </m:r>
        <m:r>
          <m:t>n</m:t>
        </m:r>
        <m:r>
          <m:t>p</m:t>
        </m:r>
        <m:r>
          <m:t>l</m:t>
        </m:r>
        <m:r>
          <m:t>a</m:t>
        </m:r>
        <m:r>
          <m:t>n</m:t>
        </m:r>
        <m:r>
          <m:rPr>
            <m:sty m:val="p"/>
          </m:rPr>
          <m:t>,</m:t>
        </m:r>
        <m:r>
          <m:t>t</m:t>
        </m:r>
        <m:r>
          <m:t>h</m:t>
        </m:r>
        <m:r>
          <m:t>o</m:t>
        </m:r>
        <m:r>
          <m:t>u</m:t>
        </m:r>
        <m:r>
          <m:t>g</m:t>
        </m:r>
        <m:r>
          <m:t>h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sSup>
          <m:e>
            <m:r>
              <m:t>k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a</m:t>
        </m:r>
        <m:r>
          <m:t>c</m:t>
        </m:r>
        <m:r>
          <m:t>t</m:t>
        </m:r>
        <m:r>
          <m:t>u</m:t>
        </m:r>
        <m:r>
          <m:t>a</m:t>
        </m:r>
        <m:r>
          <m:t>l</m:t>
        </m:r>
        <m:r>
          <m:t>2026</m:t>
        </m:r>
        <m:r>
          <m:t>p</m:t>
        </m:r>
        <m:r>
          <m:t>e</m:t>
        </m:r>
        <m:r>
          <m:t>r</m:t>
        </m:r>
        <m:r>
          <m:t>f</m:t>
        </m:r>
        <m:r>
          <m:t>o</m:t>
        </m:r>
        <m:r>
          <m:t>r</m:t>
        </m:r>
        <m:r>
          <m:t>m</m:t>
        </m:r>
        <m:r>
          <m:t>a</m:t>
        </m:r>
        <m:r>
          <m:t>n</m:t>
        </m:r>
        <m:r>
          <m:t>c</m:t>
        </m:r>
        <m:r>
          <m:t>e</m:t>
        </m:r>
        <m:r>
          <m:t>h</m:t>
        </m:r>
        <m:r>
          <m:t>a</m:t>
        </m:r>
        <m:r>
          <m:t>s</m:t>
        </m:r>
        <m:r>
          <m:t>b</m:t>
        </m:r>
        <m:r>
          <m:t>e</m:t>
        </m:r>
        <m:r>
          <m:t>e</m:t>
        </m:r>
        <m:r>
          <m:t>n</m:t>
        </m:r>
        <m:r>
          <m:t>c</m:t>
        </m:r>
        <m:r>
          <m:t>h</m:t>
        </m:r>
        <m:r>
          <m:t>o</m:t>
        </m:r>
        <m:r>
          <m:t>p</m:t>
        </m:r>
        <m:r>
          <m:t>p</m:t>
        </m:r>
        <m:r>
          <m:t>y</m:t>
        </m:r>
        <m:r>
          <m:rPr>
            <m:sty m:val="p"/>
          </m:rPr>
          <m:t>(</m:t>
        </m:r>
        <m:r>
          <m:t>a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d</m:t>
        </m:r>
        <m:r>
          <m:t>i</m:t>
        </m:r>
        <m:r>
          <m:t>p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60s in February around results season, followed by a recovery back above $80 heading into this print).</w:t>
      </w:r>
    </w:p>
    <w:bookmarkEnd w:id="12"/>
    <w:bookmarkStart w:id="13" w:name="key-risks-to-frame-the-print"/>
    <w:p>
      <w:pPr>
        <w:pStyle w:val="Heading2"/>
      </w:pPr>
      <w:r>
        <w:t xml:space="preserve">Key Risks to Frame the Print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Integration execution risk</w:t>
      </w:r>
      <w:r>
        <w:t xml:space="preserve"> </w:t>
      </w:r>
      <w:r>
        <w:t xml:space="preserve">on a deal of this scale — talent retention, client conflicts, and systems/process harmonization remain ongoing, even as management has repeatedly emphasized minimal disruption to date.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Disposal timing/proceeds uncertainty</w:t>
      </w:r>
      <w:r>
        <w:t xml:space="preserve"> </w:t>
      </w:r>
      <w:r>
        <w:t xml:space="preserve">— management has explicitly declined to give proceeds guidance, noting some assets may cost money to exit (severance, unwind costs) rather than generate net income.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Advertising discipline softness</w:t>
      </w:r>
      <w:r>
        <w:t xml:space="preserve"> </w:t>
      </w:r>
      <w:r>
        <w:t xml:space="preserve">and mix shift questions, plus competitive/pricing dynamics as agentic AI and principal media buying reshape industry economics.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Macro/geopolitical exposure</w:t>
      </w:r>
      <w:r>
        <w:t xml:space="preserve"> </w:t>
      </w:r>
      <w:r>
        <w:t xml:space="preserve">— management flagged the Middle East conflict (under 2.5% of revenue) as a watch item, alongside broader tariff/rate/economic uncertainty.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Rising interest expense</w:t>
      </w:r>
      <w:r>
        <w:t xml:space="preserve"> </w:t>
      </w:r>
      <w:r>
        <w:t xml:space="preserve">from the ~$3B of assumed IPG debt and 2026 refinancing activity, partially offset by lower share count from buybacks.</w: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Q2 2026 is really a</w:t>
      </w:r>
      <w:r>
        <w:t xml:space="preserve"> </w:t>
      </w:r>
      <w:r>
        <w:rPr>
          <w:b/>
          <w:bCs/>
        </w:rPr>
        <w:t xml:space="preserve">referendum on execution speed</w:t>
      </w:r>
      <w:r>
        <w:t xml:space="preserve">: can Omnicom show accelerating (or at least stable) organic growth, continued EBITA margin gains from synergy capture, tangible progress unwinding the ~$3.2B of non-core disposal assets, and EPS growth stepping up from Q1's 11.8% toward management's "higher double digits" framing — all while continuing an aggressive buyback pace. A clean beat-and-raise on these metrics, paired with reassuring commentary on advertising-discipline stabilization and disposal proceeds, would likely be well received given the stock trades well below Street price targets; any signs of integration friction, synergy slippage, or a softer client-spending environment would raise fresh doubts about the multi-year thesis behind the largest deal in advertising-holding-company history.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2026-07-28T01:21:12Z</dcterms:created>
  <dcterms:modified xsi:type="dcterms:W3CDTF">2026-07-28T01:21:12Z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