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mc-earnings-predictions--2026-07-28"/>
    <w:p>
      <w:pPr>
        <w:pStyle w:val="Heading1"/>
      </w:pPr>
      <w:r>
        <w:t xml:space="preserve">OMC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~$2.69 vs. cons $2.64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~4.1% vs. cons 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adjusted EBITDA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~15.2% vs. cons 15.0%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vs. cons 4.0%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Cost-reduction synergies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~$900M vs. cons $900M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~$11.10 vs. cons $10.97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+2.8% (FOLLOW-THROUGH)</w:t>
            </w:r>
          </w:p>
        </w:tc>
        <w:tc>
          <w:tcPr/>
          <w:p>
            <w:pPr>
              <w:pStyle w:val="Compact"/>
            </w:pPr>
            <w:r>
              <w:t xml:space="preserve">Modest follow-through as an implied FY2026 adjusted-EPS outlook of ~$11.10 versus consensus of $10.97 supports upward revisions; approximately 4.0% core growth and unchanged $900M synergy guidance limit multiple expansion.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2026-07-28T01:12:23Z</dcterms:created>
  <dcterms:modified xsi:type="dcterms:W3CDTF">2026-07-28T01:12:23Z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