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1" w:name="omnicom-q2-2026-earnings-preview"/>
    <w:p>
      <w:pPr>
        <w:pStyle w:val="Heading1"/>
      </w:pPr>
      <w:r>
        <w:t xml:space="preserve">Omnicom Q2 2026 Earnings Preview</w:t>
      </w:r>
    </w:p>
    <w:p>
      <w:pPr>
        <w:pStyle w:val="BlockText"/>
      </w:pPr>
      <w:r>
        <w:rPr>
          <w:b/>
          <w:bCs/>
        </w:rPr>
        <w:t xml:space="preserve">Date clarification:</w:t>
      </w:r>
      <w:r>
        <w:t xml:space="preserve"> </w:t>
      </w:r>
      <w:r>
        <w:t xml:space="preserve">Omnicom is scheduled to report</w:t>
      </w:r>
      <w:r>
        <w:t xml:space="preserve"> </w:t>
      </w:r>
      <w:r>
        <w:rPr>
          <w:b/>
          <w:bCs/>
        </w:rPr>
        <w:t xml:space="preserve">today, Tuesday, July 28, 2026, after the market close</w:t>
      </w:r>
      <w:r>
        <w:t xml:space="preserve">, with the earnings call at</w:t>
      </w:r>
      <w:r>
        <w:t xml:space="preserve"> </w:t>
      </w:r>
      <w:r>
        <w:rPr>
          <w:b/>
          <w:bCs/>
        </w:rPr>
        <w:t xml:space="preserve">4:30 p.m. ET</w:t>
      </w:r>
      <w:r>
        <w:t xml:space="preserve">—not tomorrow. (</w:t>
      </w:r>
      <w:hyperlink r:id="rId9">
        <w:r>
          <w:rPr>
            <w:rStyle w:val="Hyperlink"/>
          </w:rPr>
          <w:t xml:space="preserve">omc.com</w:t>
        </w:r>
      </w:hyperlink>
      <w:r>
        <w:t xml:space="preserve">)</w:t>
      </w:r>
    </w:p>
    <w:bookmarkStart w:id="11" w:name="executive-view"/>
    <w:p>
      <w:pPr>
        <w:pStyle w:val="Heading2"/>
      </w:pPr>
      <w:r>
        <w:t xml:space="preserve">Executive view</w:t>
      </w:r>
    </w:p>
    <w:p>
      <w:pPr>
        <w:pStyle w:val="FirstParagraph"/>
      </w:pPr>
      <w:r>
        <w:t xml:space="preserve">This is Omnicom’s second full quarter since acquiring IPG, and the report is less about whether headline revenue grew sharply—the acquisition makes that inevitable—than whether the combined company is delivering on four core promises:</w:t>
      </w:r>
    </w:p>
    <w:p>
      <w:pPr>
        <w:pStyle w:val="Compact"/>
        <w:numPr>
          <w:ilvl w:val="0"/>
          <w:numId w:val="1001"/>
        </w:numPr>
      </w:pPr>
      <w:r>
        <w:rPr>
          <w:b/>
          <w:bCs/>
        </w:rPr>
        <w:t xml:space="preserve">Approximately 4% organic growth in the retained business</w:t>
      </w:r>
    </w:p>
    <w:p>
      <w:pPr>
        <w:pStyle w:val="Compact"/>
        <w:numPr>
          <w:ilvl w:val="0"/>
          <w:numId w:val="1001"/>
        </w:numPr>
      </w:pPr>
      <w:r>
        <w:rPr>
          <w:b/>
          <w:bCs/>
        </w:rPr>
        <w:t xml:space="preserve">Rapid realization of IPG cost synergies</w:t>
      </w:r>
    </w:p>
    <w:p>
      <w:pPr>
        <w:pStyle w:val="Compact"/>
        <w:numPr>
          <w:ilvl w:val="0"/>
          <w:numId w:val="1001"/>
        </w:numPr>
      </w:pPr>
      <w:r>
        <w:rPr>
          <w:b/>
          <w:bCs/>
        </w:rPr>
        <w:t xml:space="preserve">Orderly disposal of lower-growth, lower-margin assets</w:t>
      </w:r>
    </w:p>
    <w:p>
      <w:pPr>
        <w:pStyle w:val="Compact"/>
        <w:numPr>
          <w:ilvl w:val="0"/>
          <w:numId w:val="1001"/>
        </w:numPr>
      </w:pPr>
      <w:r>
        <w:rPr>
          <w:b/>
          <w:bCs/>
        </w:rPr>
        <w:t xml:space="preserve">Double-digit adjusted EPS growth, amplified by the $5 billion buyback</w:t>
      </w:r>
    </w:p>
    <w:p>
      <w:pPr>
        <w:pStyle w:val="FirstParagraph"/>
      </w:pPr>
      <w:r>
        <w:t xml:space="preserve">The cleanest measure will be</w:t>
      </w:r>
      <w:r>
        <w:t xml:space="preserve"> </w:t>
      </w:r>
      <w:r>
        <w:rPr>
          <w:b/>
          <w:bCs/>
        </w:rPr>
        <w:t xml:space="preserve">core operations</w:t>
      </w:r>
      <w:r>
        <w:t xml:space="preserve">, which excludes businesses sold or designated for sale. Q1 established a strong benchmark: 3.9% organic growth and a 14.8% adjusted EBITA margin, versus a 12.4% pro forma margin a year earlier. Integrated Media grew at a high-single-digit rate, while traditional Advertising declined. (</w:t>
      </w:r>
      <w:hyperlink r:id="rId10">
        <w:r>
          <w:rPr>
            <w:rStyle w:val="Hyperlink"/>
          </w:rPr>
          <w:t xml:space="preserve">investor.omc.com</w:t>
        </w:r>
      </w:hyperlink>
      <w:r>
        <w:t xml:space="preserve">)</w:t>
      </w:r>
    </w:p>
    <w:p>
      <w:pPr>
        <w:pStyle w:val="BodyText"/>
      </w:pPr>
      <w:r>
        <w:t xml:space="preserve">A solid Q2 would show that this combination of organic growth and margin expansion is repeatable. A weak result would suggest that cost savings are masking pressure in the underlying agency portfolio.</w:t>
      </w:r>
    </w:p>
    <w:p>
      <w:r>
        <w:pict>
          <v:rect style="width:0;height:1.5pt" o:hralign="center" o:hrstd="t" o:hr="t"/>
        </w:pict>
      </w:r>
    </w:p>
    <w:bookmarkEnd w:id="11"/>
    <w:bookmarkStart w:id="13" w:name="street-expectations"/>
    <w:p>
      <w:pPr>
        <w:pStyle w:val="Heading2"/>
      </w:pPr>
      <w:r>
        <w:t xml:space="preserve">Street expectations</w:t>
      </w:r>
    </w:p>
    <w:p>
      <w:pPr>
        <w:pStyle w:val="FirstParagraph"/>
      </w:pPr>
      <w:r>
        <w:t xml:space="preserve">Consensus varies modestly by data provider:</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Metric</w:t>
            </w:r>
          </w:p>
        </w:tc>
        <w:tc>
          <w:tcPr/>
          <w:p>
            <w:pPr>
              <w:pStyle w:val="Compact"/>
              <w:jc w:val="right"/>
            </w:pPr>
            <w:r>
              <w:t xml:space="preserve">Q2 2026 expectation</w:t>
            </w:r>
          </w:p>
        </w:tc>
      </w:tr>
      <w:tr>
        <w:tc>
          <w:tcPr/>
          <w:p>
            <w:pPr>
              <w:pStyle w:val="Compact"/>
            </w:pPr>
            <w:r>
              <w:t xml:space="preserve">Adjusted EPS</w:t>
            </w:r>
          </w:p>
        </w:tc>
        <w:tc>
          <w:tcPr/>
          <w:p>
            <w:pPr>
              <w:pStyle w:val="Compact"/>
              <w:jc w:val="right"/>
            </w:pPr>
            <w:r>
              <w:t xml:space="preserve">Approximately</w:t>
            </w:r>
            <w:r>
              <w:t xml:space="preserve"> </w:t>
            </w:r>
            <m:oMath>
              <m:r>
                <m:t>2.62</m:t>
              </m:r>
              <m:r>
                <m:rPr>
                  <m:sty m:val="p"/>
                </m:rPr>
                <m:t>–</m:t>
              </m:r>
            </m:oMath>
            <w:r>
              <w:rPr>
                <w:b/>
                <w:bCs/>
              </w:rPr>
              <w:t xml:space="preserve">2.64</w:t>
            </w:r>
          </w:p>
        </w:tc>
      </w:tr>
      <w:tr>
        <w:tc>
          <w:tcPr/>
          <w:p>
            <w:pPr>
              <w:pStyle w:val="Compact"/>
            </w:pPr>
            <w:r>
              <w:t xml:space="preserve">Reported revenue</w:t>
            </w:r>
          </w:p>
        </w:tc>
        <w:tc>
          <w:tcPr/>
          <w:p>
            <w:pPr>
              <w:pStyle w:val="Compact"/>
              <w:jc w:val="right"/>
            </w:pPr>
            <w:r>
              <w:t xml:space="preserve">Approximately</w:t>
            </w:r>
            <w:r>
              <w:t xml:space="preserve"> </w:t>
            </w:r>
            <m:oMath>
              <m:r>
                <m:t>6.44</m:t>
              </m:r>
              <m:r>
                <m:rPr>
                  <m:sty m:val="p"/>
                </m:rPr>
                <m:t>–</m:t>
              </m:r>
            </m:oMath>
            <w:r>
              <w:rPr>
                <w:b/>
                <w:bCs/>
              </w:rPr>
              <w:t xml:space="preserve">6.49 billion</w:t>
            </w:r>
          </w:p>
        </w:tc>
      </w:tr>
      <w:tr>
        <w:tc>
          <w:tcPr/>
          <w:p>
            <w:pPr>
              <w:pStyle w:val="Compact"/>
            </w:pPr>
            <w:r>
              <w:t xml:space="preserve">Report timing</w:t>
            </w:r>
          </w:p>
        </w:tc>
        <w:tc>
          <w:tcPr/>
          <w:p>
            <w:pPr>
              <w:pStyle w:val="Compact"/>
              <w:jc w:val="right"/>
            </w:pPr>
            <w:r>
              <w:t xml:space="preserve">After market close</w:t>
            </w:r>
          </w:p>
        </w:tc>
      </w:tr>
      <w:tr>
        <w:tc>
          <w:tcPr/>
          <w:p>
            <w:pPr>
              <w:pStyle w:val="Compact"/>
            </w:pPr>
            <w:r>
              <w:t xml:space="preserve">Call</w:t>
            </w:r>
          </w:p>
        </w:tc>
        <w:tc>
          <w:tcPr/>
          <w:p>
            <w:pPr>
              <w:pStyle w:val="Compact"/>
              <w:jc w:val="right"/>
            </w:pPr>
            <w:r>
              <w:t xml:space="preserve">4:30 p.m. ET</w:t>
            </w:r>
          </w:p>
        </w:tc>
      </w:tr>
    </w:tbl>
    <w:p>
      <w:pPr>
        <w:pStyle w:val="BodyText"/>
      </w:pPr>
      <w:r>
        <w:t xml:space="preserve">MarketBeat reports consensus EPS of $2.64 and revenue of $6.44 billion, while Benzinga lists $2.62 and $6.49 billion. (</w:t>
      </w:r>
      <w:hyperlink r:id="rId12">
        <w:r>
          <w:rPr>
            <w:rStyle w:val="Hyperlink"/>
          </w:rPr>
          <w:t xml:space="preserve">marketbeat.com</w:t>
        </w:r>
      </w:hyperlink>
      <w:r>
        <w:t xml:space="preserve">)</w:t>
      </w:r>
    </w:p>
    <w:p>
      <w:pPr>
        <w:pStyle w:val="BodyText"/>
      </w:pPr>
      <w:r>
        <w:t xml:space="preserve">Reported revenue is a relatively noisy indicator because it includes businesses awaiting disposal and varies with the timing of completed sales.</w:t>
      </w:r>
      <w:r>
        <w:t xml:space="preserve"> </w:t>
      </w:r>
      <w:r>
        <w:rPr>
          <w:b/>
          <w:bCs/>
        </w:rPr>
        <w:t xml:space="preserve">Core organic growth, core adjusted EBITA and adjusted EPS should matter more than consolidated revenue.</w:t>
      </w:r>
    </w:p>
    <w:p>
      <w:r>
        <w:pict>
          <v:rect style="width:0;height:1.5pt" o:hralign="center" o:hrstd="t" o:hr="t"/>
        </w:pict>
      </w:r>
    </w:p>
    <w:bookmarkEnd w:id="13"/>
    <w:bookmarkStart w:id="15" w:name="Xabc97b5c7cc4a95b46dd0f9f796cb0f498a7c05"/>
    <w:p>
      <w:pPr>
        <w:pStyle w:val="Heading2"/>
      </w:pPr>
      <w:r>
        <w:t xml:space="preserve">The most important number: core organic growth</w:t>
      </w:r>
    </w:p>
    <w:p>
      <w:pPr>
        <w:pStyle w:val="FirstParagraph"/>
      </w:pPr>
      <w:r>
        <w:t xml:space="preserve">Management entered the year targeting approximately</w:t>
      </w:r>
      <w:r>
        <w:t xml:space="preserve"> </w:t>
      </w:r>
      <w:r>
        <w:rPr>
          <w:b/>
          <w:bCs/>
        </w:rPr>
        <w:t xml:space="preserve">4% constant-currency growth</w:t>
      </w:r>
      <w:r>
        <w:t xml:space="preserve"> </w:t>
      </w:r>
      <w:r>
        <w:t xml:space="preserve">from a pro forma core revenue base of roughly $23.1 billion. Q1 organic growth of 3.9% was effectively on plan.</w:t>
      </w:r>
    </w:p>
    <w:bookmarkStart w:id="14" w:name="what-to-watch"/>
    <w:p>
      <w:pPr>
        <w:pStyle w:val="Heading3"/>
      </w:pPr>
      <w:r>
        <w:t xml:space="preserve">What to watch</w:t>
      </w:r>
    </w:p>
    <w:p>
      <w:pPr>
        <w:pStyle w:val="Compact"/>
        <w:numPr>
          <w:ilvl w:val="0"/>
          <w:numId w:val="1002"/>
        </w:numPr>
      </w:pPr>
      <w:r>
        <w:rPr>
          <w:b/>
          <w:bCs/>
        </w:rPr>
        <w:t xml:space="preserve">Around 4%:</w:t>
      </w:r>
      <w:r>
        <w:t xml:space="preserve"> </w:t>
      </w:r>
      <w:r>
        <w:t xml:space="preserve">Supports the full-year framework.</w:t>
      </w:r>
    </w:p>
    <w:p>
      <w:pPr>
        <w:pStyle w:val="Compact"/>
        <w:numPr>
          <w:ilvl w:val="0"/>
          <w:numId w:val="1002"/>
        </w:numPr>
      </w:pPr>
      <w:r>
        <w:rPr>
          <w:b/>
          <w:bCs/>
        </w:rPr>
        <w:t xml:space="preserve">Above 4%:</w:t>
      </w:r>
      <w:r>
        <w:t xml:space="preserve"> </w:t>
      </w:r>
      <w:r>
        <w:t xml:space="preserve">Particularly encouraging if driven by client spending and new business rather than principal media or other pass-through revenue.</w:t>
      </w:r>
    </w:p>
    <w:p>
      <w:pPr>
        <w:pStyle w:val="Compact"/>
        <w:numPr>
          <w:ilvl w:val="0"/>
          <w:numId w:val="1002"/>
        </w:numPr>
      </w:pPr>
      <w:r>
        <w:rPr>
          <w:b/>
          <w:bCs/>
        </w:rPr>
        <w:t xml:space="preserve">Below 3%:</w:t>
      </w:r>
      <w:r>
        <w:t xml:space="preserve"> </w:t>
      </w:r>
      <w:r>
        <w:t xml:space="preserve">Would raise questions about client disruption, macro pressure or weakness in legacy creative services.</w:t>
      </w:r>
    </w:p>
    <w:p>
      <w:pPr>
        <w:pStyle w:val="FirstParagraph"/>
      </w:pPr>
      <w:r>
        <w:t xml:space="preserve">The mix will be as important as the consolidated rate:</w:t>
      </w:r>
    </w:p>
    <w:p>
      <w:pPr>
        <w:pStyle w:val="Compact"/>
        <w:numPr>
          <w:ilvl w:val="0"/>
          <w:numId w:val="1003"/>
        </w:numPr>
      </w:pPr>
      <w:r>
        <w:rPr>
          <w:b/>
          <w:bCs/>
        </w:rPr>
        <w:t xml:space="preserve">Integrated Media:</w:t>
      </w:r>
      <w:r>
        <w:t xml:space="preserve"> </w:t>
      </w:r>
      <w:r>
        <w:t xml:space="preserve">Roughly 52% of Q1 core revenue and the principal growth engine. Q1 growth was high single digits.</w:t>
      </w:r>
    </w:p>
    <w:p>
      <w:pPr>
        <w:pStyle w:val="Compact"/>
        <w:numPr>
          <w:ilvl w:val="0"/>
          <w:numId w:val="1003"/>
        </w:numPr>
      </w:pPr>
      <w:r>
        <w:rPr>
          <w:b/>
          <w:bCs/>
        </w:rPr>
        <w:t xml:space="preserve">Advertising:</w:t>
      </w:r>
      <w:r>
        <w:t xml:space="preserve"> </w:t>
      </w:r>
      <w:r>
        <w:t xml:space="preserve">Roughly 17% of core revenue and down in Q1. Stabilization would materially improve the quality of the result.</w:t>
      </w:r>
    </w:p>
    <w:p>
      <w:pPr>
        <w:pStyle w:val="Compact"/>
        <w:numPr>
          <w:ilvl w:val="0"/>
          <w:numId w:val="1003"/>
        </w:numPr>
      </w:pPr>
      <w:r>
        <w:rPr>
          <w:b/>
          <w:bCs/>
        </w:rPr>
        <w:t xml:space="preserve">Public Relations and Experiential:</w:t>
      </w:r>
      <w:r>
        <w:t xml:space="preserve"> </w:t>
      </w:r>
      <w:r>
        <w:t xml:space="preserve">Both delivered mid-single-digit Q1 growth.</w:t>
      </w:r>
    </w:p>
    <w:p>
      <w:pPr>
        <w:pStyle w:val="Compact"/>
        <w:numPr>
          <w:ilvl w:val="0"/>
          <w:numId w:val="1003"/>
        </w:numPr>
      </w:pPr>
      <w:r>
        <w:rPr>
          <w:b/>
          <w:bCs/>
        </w:rPr>
        <w:t xml:space="preserve">Health:</w:t>
      </w:r>
      <w:r>
        <w:t xml:space="preserve"> </w:t>
      </w:r>
      <w:r>
        <w:t xml:space="preserve">Grew at a low-single-digit rate.</w:t>
      </w:r>
    </w:p>
    <w:p>
      <w:pPr>
        <w:pStyle w:val="FirstParagraph"/>
      </w:pPr>
      <w:r>
        <w:t xml:space="preserve">The best outcome would be continued strong Integrated Media growth accompanied by an improvement in Advertising—not merely faster growth from media-related third-party costs.</w:t>
      </w:r>
    </w:p>
    <w:p>
      <w:r>
        <w:pict>
          <v:rect style="width:0;height:1.5pt" o:hralign="center" o:hrstd="t" o:hr="t"/>
        </w:pict>
      </w:r>
    </w:p>
    <w:bookmarkEnd w:id="14"/>
    <w:bookmarkEnd w:id="15"/>
    <w:bookmarkStart w:id="17" w:name="ipg-integration-and-synergies"/>
    <w:p>
      <w:pPr>
        <w:pStyle w:val="Heading2"/>
      </w:pPr>
      <w:r>
        <w:t xml:space="preserve">IPG integration and synergies</w:t>
      </w:r>
    </w:p>
    <w:p>
      <w:pPr>
        <w:pStyle w:val="FirstParagraph"/>
      </w:pPr>
      <w:r>
        <w:t xml:space="preserve">Omnicom is targeting:</w:t>
      </w:r>
    </w:p>
    <w:p>
      <w:pPr>
        <w:pStyle w:val="Compact"/>
        <w:numPr>
          <w:ilvl w:val="0"/>
          <w:numId w:val="1004"/>
        </w:numPr>
      </w:pPr>
      <w:r>
        <w:rPr>
          <w:b/>
          <w:bCs/>
        </w:rPr>
        <w:t xml:space="preserve">$900 million of cost reductions in 2026</w:t>
      </w:r>
    </w:p>
    <w:p>
      <w:pPr>
        <w:pStyle w:val="Compact"/>
        <w:numPr>
          <w:ilvl w:val="0"/>
          <w:numId w:val="1004"/>
        </w:numPr>
      </w:pPr>
      <w:r>
        <w:rPr>
          <w:b/>
          <w:bCs/>
        </w:rPr>
        <w:t xml:space="preserve">$1.3 billion by 2027</w:t>
      </w:r>
    </w:p>
    <w:p>
      <w:pPr>
        <w:pStyle w:val="Compact"/>
        <w:numPr>
          <w:ilvl w:val="0"/>
          <w:numId w:val="1004"/>
        </w:numPr>
      </w:pPr>
      <w:r>
        <w:rPr>
          <w:b/>
          <w:bCs/>
        </w:rPr>
        <w:t xml:space="preserve">$1.5 billion by mid-2028</w:t>
      </w:r>
    </w:p>
    <w:p>
      <w:pPr>
        <w:pStyle w:val="FirstParagraph"/>
      </w:pPr>
      <w:r>
        <w:t xml:space="preserve">Management previously estimated that</w:t>
      </w:r>
      <w:r>
        <w:t xml:space="preserve"> </w:t>
      </w:r>
      <w:r>
        <w:rPr>
          <w:b/>
          <w:bCs/>
        </w:rPr>
        <w:t xml:space="preserve">75%–80% of the 2026 savings</w:t>
      </w:r>
      <w:r>
        <w:t xml:space="preserve"> </w:t>
      </w:r>
      <w:r>
        <w:t xml:space="preserve">would flow through to adjusted EBITDA and net income, with the balance reinvested in Omni, AI, data, commerce and other growth capabilities.</w:t>
      </w:r>
    </w:p>
    <w:p>
      <w:pPr>
        <w:pStyle w:val="BodyText"/>
      </w:pPr>
      <w:r>
        <w:t xml:space="preserve">Q1 provided an encouraging first proof point: core adjusted EBITA increased 27% to $833.5 million, and margin expanded 240 basis points to 14.8%. The majority of that improvement was attributed to cost synergies.</w:t>
      </w:r>
    </w:p>
    <w:bookmarkStart w:id="16" w:name="questions-for-q2"/>
    <w:p>
      <w:pPr>
        <w:pStyle w:val="Heading3"/>
      </w:pPr>
      <w:r>
        <w:t xml:space="preserve">Questions for Q2</w:t>
      </w:r>
    </w:p>
    <w:p>
      <w:pPr>
        <w:pStyle w:val="Compact"/>
        <w:numPr>
          <w:ilvl w:val="0"/>
          <w:numId w:val="1005"/>
        </w:numPr>
      </w:pPr>
      <w:r>
        <w:t xml:space="preserve">How much of the $900 million target is already reflected in the current cost base?</w:t>
      </w:r>
    </w:p>
    <w:p>
      <w:pPr>
        <w:pStyle w:val="Compact"/>
        <w:numPr>
          <w:ilvl w:val="0"/>
          <w:numId w:val="1005"/>
        </w:numPr>
      </w:pPr>
      <w:r>
        <w:t xml:space="preserve">Is Omnicom ahead of, on, or behind its integration timetable?</w:t>
      </w:r>
    </w:p>
    <w:p>
      <w:pPr>
        <w:pStyle w:val="Compact"/>
        <w:numPr>
          <w:ilvl w:val="0"/>
          <w:numId w:val="1005"/>
        </w:numPr>
      </w:pPr>
      <w:r>
        <w:t xml:space="preserve">Are savings coming from sustainable sources such as real estate, systems and duplicated overhead—or from reductions that could damage client service?</w:t>
      </w:r>
    </w:p>
    <w:p>
      <w:pPr>
        <w:pStyle w:val="Compact"/>
        <w:numPr>
          <w:ilvl w:val="0"/>
          <w:numId w:val="1005"/>
        </w:numPr>
      </w:pPr>
      <w:r>
        <w:t xml:space="preserve">Is management still comfortable with 75%–80% drop-through?</w:t>
      </w:r>
    </w:p>
    <w:p>
      <w:pPr>
        <w:pStyle w:val="Compact"/>
        <w:numPr>
          <w:ilvl w:val="0"/>
          <w:numId w:val="1005"/>
        </w:numPr>
      </w:pPr>
      <w:r>
        <w:t xml:space="preserve">Has the integration caused any material client losses or senior-talent departures?</w:t>
      </w:r>
    </w:p>
    <w:p>
      <w:pPr>
        <w:pStyle w:val="FirstParagraph"/>
      </w:pPr>
      <w:r>
        <w:t xml:space="preserve">A margin near or above Q1’s 14.8% would be constructive. A meaningful decline without a clear seasonal explanation would make the synergy story less convincing.</w:t>
      </w:r>
    </w:p>
    <w:p>
      <w:r>
        <w:pict>
          <v:rect style="width:0;height:1.5pt" o:hralign="center" o:hrstd="t" o:hr="t"/>
        </w:pict>
      </w:r>
    </w:p>
    <w:bookmarkEnd w:id="16"/>
    <w:bookmarkEnd w:id="17"/>
    <w:bookmarkStart w:id="18" w:name="Xd5301d55db8aa6adabcb1d6d86efd1f8a8d5849"/>
    <w:p>
      <w:pPr>
        <w:pStyle w:val="Heading2"/>
      </w:pPr>
      <w:r>
        <w:t xml:space="preserve">Portfolio disposals: necessary, but financially messy</w:t>
      </w:r>
    </w:p>
    <w:p>
      <w:pPr>
        <w:pStyle w:val="FirstParagraph"/>
      </w:pPr>
      <w:r>
        <w:t xml:space="preserve">Following the IPG closing, Omnicom identified businesses representing approximately</w:t>
      </w:r>
      <w:r>
        <w:t xml:space="preserve"> </w:t>
      </w:r>
      <w:r>
        <w:rPr>
          <w:b/>
          <w:bCs/>
        </w:rPr>
        <w:t xml:space="preserve">$3.2 billion of annual revenue</w:t>
      </w:r>
      <w:r>
        <w:t xml:space="preserve"> </w:t>
      </w:r>
      <w:r>
        <w:t xml:space="preserve">for sale or exit. These assets were selected largely because of inconsistent growth, weak margins or limited strategic importance to clients.</w:t>
      </w:r>
    </w:p>
    <w:p>
      <w:pPr>
        <w:pStyle w:val="BodyText"/>
      </w:pPr>
      <w:r>
        <w:t xml:space="preserve">By Q1, businesses representing roughly $1 billion of annual revenue had already been sold. The remaining portfolio should continue to shrink over the next several quarters.</w:t>
      </w:r>
    </w:p>
    <w:p>
      <w:pPr>
        <w:pStyle w:val="BodyText"/>
      </w:pPr>
      <w:r>
        <w:t xml:space="preserve">Investors should look for:</w:t>
      </w:r>
    </w:p>
    <w:p>
      <w:pPr>
        <w:pStyle w:val="Compact"/>
        <w:numPr>
          <w:ilvl w:val="0"/>
          <w:numId w:val="1006"/>
        </w:numPr>
      </w:pPr>
      <w:r>
        <w:t xml:space="preserve">Additional transactions completed during Q2</w:t>
      </w:r>
    </w:p>
    <w:p>
      <w:pPr>
        <w:pStyle w:val="Compact"/>
        <w:numPr>
          <w:ilvl w:val="0"/>
          <w:numId w:val="1006"/>
        </w:numPr>
      </w:pPr>
      <w:r>
        <w:t xml:space="preserve">Annual revenue removed from the disposal pool</w:t>
      </w:r>
    </w:p>
    <w:p>
      <w:pPr>
        <w:pStyle w:val="Compact"/>
        <w:numPr>
          <w:ilvl w:val="0"/>
          <w:numId w:val="1006"/>
        </w:numPr>
      </w:pPr>
      <w:r>
        <w:t xml:space="preserve">Cash proceeds and any disposal losses</w:t>
      </w:r>
    </w:p>
    <w:p>
      <w:pPr>
        <w:pStyle w:val="Compact"/>
        <w:numPr>
          <w:ilvl w:val="0"/>
          <w:numId w:val="1006"/>
        </w:numPr>
      </w:pPr>
      <w:r>
        <w:t xml:space="preserve">Changes in assets and liabilities held for sale</w:t>
      </w:r>
    </w:p>
    <w:p>
      <w:pPr>
        <w:pStyle w:val="Compact"/>
        <w:numPr>
          <w:ilvl w:val="0"/>
          <w:numId w:val="1006"/>
        </w:numPr>
      </w:pPr>
      <w:r>
        <w:t xml:space="preserve">A more specific completion timetable</w:t>
      </w:r>
    </w:p>
    <w:p>
      <w:pPr>
        <w:pStyle w:val="Compact"/>
        <w:numPr>
          <w:ilvl w:val="0"/>
          <w:numId w:val="1006"/>
        </w:numPr>
      </w:pPr>
      <w:r>
        <w:t xml:space="preserve">Confirmation that the retained portfolio has a structurally better growth and margin profile</w:t>
      </w:r>
    </w:p>
    <w:p>
      <w:pPr>
        <w:pStyle w:val="FirstParagraph"/>
      </w:pPr>
      <w:r>
        <w:t xml:space="preserve">The remaining assets are low margin, so selling them can reduce reported revenue while improving consolidated revenue quality. A revenue “miss” caused by earlier-than-expected disposals would therefore not necessarily be negative.</w:t>
      </w:r>
    </w:p>
    <w:p>
      <w:r>
        <w:pict>
          <v:rect style="width:0;height:1.5pt" o:hralign="center" o:hrstd="t" o:hr="t"/>
        </w:pict>
      </w:r>
    </w:p>
    <w:bookmarkEnd w:id="18"/>
    <w:bookmarkStart w:id="21" w:name="eps-and-the-buyback"/>
    <w:p>
      <w:pPr>
        <w:pStyle w:val="Heading2"/>
      </w:pPr>
      <w:r>
        <w:t xml:space="preserve">EPS and the buyback</w:t>
      </w:r>
    </w:p>
    <w:p>
      <w:pPr>
        <w:pStyle w:val="FirstParagraph"/>
      </w:pPr>
      <w:r>
        <w:t xml:space="preserve">Q1 adjusted EPS rose 11.8% to $1.90. Management subsequently indicated that adjusted EPS growth in the remaining quarters should be stronger than Q1’s rate.</w:t>
      </w:r>
    </w:p>
    <w:p>
      <w:pPr>
        <w:pStyle w:val="BodyText"/>
      </w:pPr>
      <w:r>
        <w:t xml:space="preserve">The buyback is central to that outlook. Omnicom authorized</w:t>
      </w:r>
      <w:r>
        <w:t xml:space="preserve"> </w:t>
      </w:r>
      <w:r>
        <w:rPr>
          <w:b/>
          <w:bCs/>
        </w:rPr>
        <w:t xml:space="preserve">$5 billion</w:t>
      </w:r>
      <w:r>
        <w:t xml:space="preserve"> </w:t>
      </w:r>
      <w:r>
        <w:t xml:space="preserve">of repurchases, including a $2.5 billion accelerated share-repurchase arrangement. Through Q1 it had repurchased approximately $2.8 billion of shares, reducing actual shares outstanding to 285.3 million from 313.4 million at year-end.</w:t>
      </w:r>
    </w:p>
    <w:p>
      <w:pPr>
        <w:pStyle w:val="BodyText"/>
      </w:pPr>
      <w:r>
        <w:t xml:space="preserve">The accelerated program was expected to settle no later than the end of Q2. (</w:t>
      </w:r>
      <w:hyperlink r:id="rId19">
        <w:r>
          <w:rPr>
            <w:rStyle w:val="Hyperlink"/>
          </w:rPr>
          <w:t xml:space="preserve">investor.omc.com</w:t>
        </w:r>
      </w:hyperlink>
      <w:r>
        <w:t xml:space="preserve">)</w:t>
      </w:r>
    </w:p>
    <w:bookmarkStart w:id="20" w:name="key-items"/>
    <w:p>
      <w:pPr>
        <w:pStyle w:val="Heading3"/>
      </w:pPr>
      <w:r>
        <w:t xml:space="preserve">Key items</w:t>
      </w:r>
    </w:p>
    <w:p>
      <w:pPr>
        <w:pStyle w:val="Compact"/>
        <w:numPr>
          <w:ilvl w:val="0"/>
          <w:numId w:val="1007"/>
        </w:numPr>
      </w:pPr>
      <w:r>
        <w:t xml:space="preserve">Q2 weighted-average diluted share count</w:t>
      </w:r>
    </w:p>
    <w:p>
      <w:pPr>
        <w:pStyle w:val="Compact"/>
        <w:numPr>
          <w:ilvl w:val="0"/>
          <w:numId w:val="1007"/>
        </w:numPr>
      </w:pPr>
      <w:r>
        <w:t xml:space="preserve">Final ASR settlement and additional shares received</w:t>
      </w:r>
    </w:p>
    <w:p>
      <w:pPr>
        <w:pStyle w:val="Compact"/>
        <w:numPr>
          <w:ilvl w:val="0"/>
          <w:numId w:val="1007"/>
        </w:numPr>
      </w:pPr>
      <w:r>
        <w:t xml:space="preserve">Open-market repurchases during the quarter</w:t>
      </w:r>
    </w:p>
    <w:p>
      <w:pPr>
        <w:pStyle w:val="Compact"/>
        <w:numPr>
          <w:ilvl w:val="0"/>
          <w:numId w:val="1007"/>
        </w:numPr>
      </w:pPr>
      <w:r>
        <w:t xml:space="preserve">Progress toward completing the full $5 billion program by April 2027</w:t>
      </w:r>
    </w:p>
    <w:p>
      <w:pPr>
        <w:pStyle w:val="Compact"/>
        <w:numPr>
          <w:ilvl w:val="0"/>
          <w:numId w:val="1007"/>
        </w:numPr>
      </w:pPr>
      <w:r>
        <w:t xml:space="preserve">Updated forecast for full-year weighted-average shares</w:t>
      </w:r>
    </w:p>
    <w:p>
      <w:pPr>
        <w:pStyle w:val="FirstParagraph"/>
      </w:pPr>
      <w:r>
        <w:t xml:space="preserve">An EPS beat driven entirely by a lower share count would be less impressive than one supported by organic revenue and EBITA growth. Nevertheless, the buyback is large enough to remain a meaningful per-share earnings catalyst.</w:t>
      </w:r>
    </w:p>
    <w:p>
      <w:r>
        <w:pict>
          <v:rect style="width:0;height:1.5pt" o:hralign="center" o:hrstd="t" o:hr="t"/>
        </w:pict>
      </w:r>
    </w:p>
    <w:bookmarkEnd w:id="20"/>
    <w:bookmarkEnd w:id="21"/>
    <w:bookmarkStart w:id="22" w:name="balance-sheet-and-cash-flow"/>
    <w:p>
      <w:pPr>
        <w:pStyle w:val="Heading2"/>
      </w:pPr>
      <w:r>
        <w:t xml:space="preserve">Balance sheet and cash flow</w:t>
      </w:r>
    </w:p>
    <w:p>
      <w:pPr>
        <w:pStyle w:val="FirstParagraph"/>
      </w:pPr>
      <w:r>
        <w:t xml:space="preserve">At the end of Q1, Omnicom had:</w:t>
      </w:r>
    </w:p>
    <w:p>
      <w:pPr>
        <w:pStyle w:val="Compact"/>
        <w:numPr>
          <w:ilvl w:val="0"/>
          <w:numId w:val="1008"/>
        </w:numPr>
      </w:pPr>
      <w:r>
        <w:t xml:space="preserve">Approximately</w:t>
      </w:r>
      <w:r>
        <w:t xml:space="preserve"> </w:t>
      </w:r>
      <w:r>
        <w:rPr>
          <w:b/>
          <w:bCs/>
        </w:rPr>
        <w:t xml:space="preserve">$10.2 billion of gross long-term debt</w:t>
      </w:r>
    </w:p>
    <w:p>
      <w:pPr>
        <w:pStyle w:val="Compact"/>
        <w:numPr>
          <w:ilvl w:val="0"/>
          <w:numId w:val="1008"/>
        </w:numPr>
      </w:pPr>
      <w:r>
        <w:t xml:space="preserve">Approximately</w:t>
      </w:r>
      <w:r>
        <w:t xml:space="preserve"> </w:t>
      </w:r>
      <w:r>
        <w:rPr>
          <w:b/>
          <w:bCs/>
        </w:rPr>
        <w:t xml:space="preserve">$4.3 billion of cash</w:t>
      </w:r>
    </w:p>
    <w:p>
      <w:pPr>
        <w:pStyle w:val="Compact"/>
        <w:numPr>
          <w:ilvl w:val="0"/>
          <w:numId w:val="1008"/>
        </w:numPr>
      </w:pPr>
      <w:r>
        <w:t xml:space="preserve">Covenant leverage of</w:t>
      </w:r>
      <w:r>
        <w:t xml:space="preserve"> </w:t>
      </w:r>
      <w:r>
        <w:rPr>
          <w:b/>
          <w:bCs/>
        </w:rPr>
        <w:t xml:space="preserve">2.5 times</w:t>
      </w:r>
    </w:p>
    <w:p>
      <w:pPr>
        <w:pStyle w:val="Compact"/>
        <w:numPr>
          <w:ilvl w:val="0"/>
          <w:numId w:val="1008"/>
        </w:numPr>
      </w:pPr>
      <w:r>
        <w:t xml:space="preserve">An undrawn $3.5 billion revolving credit facility</w:t>
      </w:r>
    </w:p>
    <w:p>
      <w:pPr>
        <w:pStyle w:val="FirstParagraph"/>
      </w:pPr>
      <w:r>
        <w:t xml:space="preserve">Management expected net interest expense to rise by approximately $200 million in 2026, primarily because of assumed IPG debt and refinancing activity.</w:t>
      </w:r>
    </w:p>
    <w:p>
      <w:pPr>
        <w:pStyle w:val="BodyText"/>
      </w:pPr>
      <w:r>
        <w:t xml:space="preserve">Q2 should clarify whether the combination of buybacks, restructuring payments and integration costs is reducing financial flexibility faster than expected. The balance sheet does not appear immediately constrained, but investors should watch:</w:t>
      </w:r>
    </w:p>
    <w:p>
      <w:pPr>
        <w:pStyle w:val="Compact"/>
        <w:numPr>
          <w:ilvl w:val="0"/>
          <w:numId w:val="1009"/>
        </w:numPr>
      </w:pPr>
      <w:r>
        <w:t xml:space="preserve">Gross and net debt</w:t>
      </w:r>
    </w:p>
    <w:p>
      <w:pPr>
        <w:pStyle w:val="Compact"/>
        <w:numPr>
          <w:ilvl w:val="0"/>
          <w:numId w:val="1009"/>
        </w:numPr>
      </w:pPr>
      <w:r>
        <w:t xml:space="preserve">Cash remaining after the ASR</w:t>
      </w:r>
    </w:p>
    <w:p>
      <w:pPr>
        <w:pStyle w:val="Compact"/>
        <w:numPr>
          <w:ilvl w:val="0"/>
          <w:numId w:val="1009"/>
        </w:numPr>
      </w:pPr>
      <w:r>
        <w:t xml:space="preserve">Leverage relative to the year-end target of approximately 2.4 times</w:t>
      </w:r>
    </w:p>
    <w:p>
      <w:pPr>
        <w:pStyle w:val="Compact"/>
        <w:numPr>
          <w:ilvl w:val="0"/>
          <w:numId w:val="1009"/>
        </w:numPr>
      </w:pPr>
      <w:r>
        <w:t xml:space="preserve">Integration and severance cash payments</w:t>
      </w:r>
    </w:p>
    <w:p>
      <w:pPr>
        <w:pStyle w:val="Compact"/>
        <w:numPr>
          <w:ilvl w:val="0"/>
          <w:numId w:val="1009"/>
        </w:numPr>
      </w:pPr>
      <w:r>
        <w:t xml:space="preserve">Working-capital performance</w:t>
      </w:r>
    </w:p>
    <w:p>
      <w:pPr>
        <w:pStyle w:val="Compact"/>
        <w:numPr>
          <w:ilvl w:val="0"/>
          <w:numId w:val="1009"/>
        </w:numPr>
      </w:pPr>
      <w:r>
        <w:t xml:space="preserve">Whether disposal proceeds are used for debt reduction, buybacks or acquisitions</w:t>
      </w:r>
    </w:p>
    <w:p>
      <w:pPr>
        <w:pStyle w:val="FirstParagraph"/>
      </w:pPr>
      <w:r>
        <w:t xml:space="preserve">The dividend is currently $0.80 per quarter. Based on OMC’s July 27 close of approximately $82.43, that equates to a yield of roughly 3.9%.</w:t>
      </w:r>
    </w:p>
    <w:p>
      <w:r>
        <w:pict>
          <v:rect style="width:0;height:1.5pt" o:hralign="center" o:hrstd="t" o:hr="t"/>
        </w:pict>
      </w:r>
    </w:p>
    <w:bookmarkEnd w:id="22"/>
    <w:bookmarkStart w:id="23" w:name="X47071d6ce611bbcd25311977ac4025098b29e98"/>
    <w:p>
      <w:pPr>
        <w:pStyle w:val="Heading2"/>
      </w:pPr>
      <w:r>
        <w:t xml:space="preserve">AI and new business: evidence matters more than positioning</w:t>
      </w:r>
    </w:p>
    <w:p>
      <w:pPr>
        <w:pStyle w:val="FirstParagraph"/>
      </w:pPr>
      <w:r>
        <w:t xml:space="preserve">Management’s strategic case is that Omnicom now combines:</w:t>
      </w:r>
    </w:p>
    <w:p>
      <w:pPr>
        <w:pStyle w:val="Compact"/>
        <w:numPr>
          <w:ilvl w:val="0"/>
          <w:numId w:val="1010"/>
        </w:numPr>
      </w:pPr>
      <w:r>
        <w:t xml:space="preserve">More than $70 billion of annual media billings</w:t>
      </w:r>
    </w:p>
    <w:p>
      <w:pPr>
        <w:pStyle w:val="Compact"/>
        <w:numPr>
          <w:ilvl w:val="0"/>
          <w:numId w:val="1010"/>
        </w:numPr>
      </w:pPr>
      <w:r>
        <w:t xml:space="preserve">Acxiom’s identity infrastructure</w:t>
      </w:r>
    </w:p>
    <w:p>
      <w:pPr>
        <w:pStyle w:val="Compact"/>
        <w:numPr>
          <w:ilvl w:val="0"/>
          <w:numId w:val="1010"/>
        </w:numPr>
      </w:pPr>
      <w:r>
        <w:t xml:space="preserve">Flywheel’s commerce data</w:t>
      </w:r>
    </w:p>
    <w:p>
      <w:pPr>
        <w:pStyle w:val="Compact"/>
        <w:numPr>
          <w:ilvl w:val="0"/>
          <w:numId w:val="1010"/>
        </w:numPr>
      </w:pPr>
      <w:r>
        <w:t xml:space="preserve">The AI-enabled Omni platform</w:t>
      </w:r>
    </w:p>
    <w:p>
      <w:pPr>
        <w:pStyle w:val="Compact"/>
        <w:numPr>
          <w:ilvl w:val="0"/>
          <w:numId w:val="1010"/>
        </w:numPr>
      </w:pPr>
      <w:r>
        <w:t xml:space="preserve">Media, creative, CRM, consulting and production capabilities under one organization</w:t>
      </w:r>
    </w:p>
    <w:p>
      <w:pPr>
        <w:pStyle w:val="FirstParagraph"/>
      </w:pPr>
      <w:r>
        <w:t xml:space="preserve">Q1 included new-business wins such as IBM, GSK and John Deere, along with scope expansions at existing clients. Management also said it had begun executing agent-to-agent media purchases for clients.</w:t>
      </w:r>
    </w:p>
    <w:p>
      <w:pPr>
        <w:pStyle w:val="BodyText"/>
      </w:pPr>
      <w:r>
        <w:t xml:space="preserve">For Q2, investors should look for tangible evidence that these capabilities are improving economics:</w:t>
      </w:r>
    </w:p>
    <w:p>
      <w:pPr>
        <w:pStyle w:val="Compact"/>
        <w:numPr>
          <w:ilvl w:val="0"/>
          <w:numId w:val="1011"/>
        </w:numPr>
      </w:pPr>
      <w:r>
        <w:t xml:space="preserve">New account wins and retentions</w:t>
      </w:r>
    </w:p>
    <w:p>
      <w:pPr>
        <w:pStyle w:val="Compact"/>
        <w:numPr>
          <w:ilvl w:val="0"/>
          <w:numId w:val="1011"/>
        </w:numPr>
      </w:pPr>
      <w:r>
        <w:t xml:space="preserve">Expansion across multiple services at existing clients</w:t>
      </w:r>
    </w:p>
    <w:p>
      <w:pPr>
        <w:pStyle w:val="Compact"/>
        <w:numPr>
          <w:ilvl w:val="0"/>
          <w:numId w:val="1011"/>
        </w:numPr>
      </w:pPr>
      <w:r>
        <w:t xml:space="preserve">Revenue contribution from Acxiom and commerce offerings</w:t>
      </w:r>
    </w:p>
    <w:p>
      <w:pPr>
        <w:pStyle w:val="Compact"/>
        <w:numPr>
          <w:ilvl w:val="0"/>
          <w:numId w:val="1011"/>
        </w:numPr>
      </w:pPr>
      <w:r>
        <w:t xml:space="preserve">Better pricing or outcome-based compensation</w:t>
      </w:r>
    </w:p>
    <w:p>
      <w:pPr>
        <w:pStyle w:val="Compact"/>
        <w:numPr>
          <w:ilvl w:val="0"/>
          <w:numId w:val="1011"/>
        </w:numPr>
      </w:pPr>
      <w:r>
        <w:t xml:space="preserve">Productivity savings beyond the formal IPG synergy program</w:t>
      </w:r>
    </w:p>
    <w:p>
      <w:pPr>
        <w:pStyle w:val="Compact"/>
        <w:numPr>
          <w:ilvl w:val="0"/>
          <w:numId w:val="1011"/>
        </w:numPr>
      </w:pPr>
      <w:r>
        <w:t xml:space="preserve">Evidence that AI efficiencies are being reinvested by clients rather than retained as budget cuts</w:t>
      </w:r>
    </w:p>
    <w:p>
      <w:pPr>
        <w:pStyle w:val="FirstParagraph"/>
      </w:pPr>
      <w:r>
        <w:t xml:space="preserve">Without corresponding growth, client wins and margins, the AI discussion risks remaining largely promotional.</w:t>
      </w:r>
    </w:p>
    <w:p>
      <w:r>
        <w:pict>
          <v:rect style="width:0;height:1.5pt" o:hralign="center" o:hrstd="t" o:hr="t"/>
        </w:pict>
      </w:r>
    </w:p>
    <w:bookmarkEnd w:id="23"/>
    <w:bookmarkStart w:id="25" w:name="stock-setup"/>
    <w:p>
      <w:pPr>
        <w:pStyle w:val="Heading2"/>
      </w:pPr>
      <w:r>
        <w:t xml:space="preserve">Stock setup</w:t>
      </w:r>
    </w:p>
    <w:p>
      <w:pPr>
        <w:pStyle w:val="FirstParagraph"/>
      </w:pPr>
      <w:r>
        <w:t xml:space="preserve">OMC closed at approximately</w:t>
      </w:r>
      <w:r>
        <w:t xml:space="preserve"> </w:t>
      </w:r>
      <w:r>
        <w:rPr>
          <w:b/>
          <w:bCs/>
        </w:rPr>
        <w:t xml:space="preserve">$82.43 on July 27</w:t>
      </w:r>
      <w:r>
        <w:t xml:space="preserve">, up:</w:t>
      </w:r>
    </w:p>
    <w:p>
      <w:pPr>
        <w:pStyle w:val="Compact"/>
        <w:numPr>
          <w:ilvl w:val="0"/>
          <w:numId w:val="1012"/>
        </w:numPr>
      </w:pPr>
      <w:r>
        <w:t xml:space="preserve">About</w:t>
      </w:r>
      <w:r>
        <w:t xml:space="preserve"> </w:t>
      </w:r>
      <w:r>
        <w:rPr>
          <w:b/>
          <w:bCs/>
        </w:rPr>
        <w:t xml:space="preserve">2% in 2026</w:t>
      </w:r>
    </w:p>
    <w:p>
      <w:pPr>
        <w:pStyle w:val="Compact"/>
        <w:numPr>
          <w:ilvl w:val="0"/>
          <w:numId w:val="1012"/>
        </w:numPr>
      </w:pPr>
      <w:r>
        <w:t xml:space="preserve">About</w:t>
      </w:r>
      <w:r>
        <w:t xml:space="preserve"> </w:t>
      </w:r>
      <w:r>
        <w:rPr>
          <w:b/>
          <w:bCs/>
        </w:rPr>
        <w:t xml:space="preserve">7% since the Q1 report</w:t>
      </w:r>
    </w:p>
    <w:p>
      <w:pPr>
        <w:pStyle w:val="Compact"/>
        <w:numPr>
          <w:ilvl w:val="0"/>
          <w:numId w:val="1012"/>
        </w:numPr>
      </w:pPr>
      <w:r>
        <w:t xml:space="preserve">About</w:t>
      </w:r>
      <w:r>
        <w:t xml:space="preserve"> </w:t>
      </w:r>
      <w:r>
        <w:rPr>
          <w:b/>
          <w:bCs/>
        </w:rPr>
        <w:t xml:space="preserve">15% since the IPG transaction closed on November 26, 2025</w:t>
      </w:r>
    </w:p>
    <w:p>
      <w:pPr>
        <w:pStyle w:val="FirstParagraph"/>
      </w:pPr>
      <w:r>
        <w:t xml:space="preserve">Published consensus calls for approximately $10.97 of 2026 adjusted EPS, implying a multiple near</w:t>
      </w:r>
      <w:r>
        <w:t xml:space="preserve"> </w:t>
      </w:r>
      <w:r>
        <w:rPr>
          <w:b/>
          <w:bCs/>
        </w:rPr>
        <w:t xml:space="preserve">7.5 times</w:t>
      </w:r>
      <w:r>
        <w:t xml:space="preserve">. (</w:t>
      </w:r>
      <w:hyperlink r:id="rId24">
        <w:r>
          <w:rPr>
            <w:rStyle w:val="Hyperlink"/>
          </w:rPr>
          <w:t xml:space="preserve">barchart.com</w:t>
        </w:r>
      </w:hyperlink>
      <w:r>
        <w:t xml:space="preserve">)</w:t>
      </w:r>
    </w:p>
    <w:p>
      <w:pPr>
        <w:pStyle w:val="BodyText"/>
      </w:pPr>
      <w:r>
        <w:t xml:space="preserve">That is a low headline valuation, but it reflects several uncertainties:</w:t>
      </w:r>
    </w:p>
    <w:p>
      <w:pPr>
        <w:pStyle w:val="Compact"/>
        <w:numPr>
          <w:ilvl w:val="0"/>
          <w:numId w:val="1013"/>
        </w:numPr>
      </w:pPr>
      <w:r>
        <w:t xml:space="preserve">Complexity of the IPG integration</w:t>
      </w:r>
    </w:p>
    <w:p>
      <w:pPr>
        <w:pStyle w:val="Compact"/>
        <w:numPr>
          <w:ilvl w:val="0"/>
          <w:numId w:val="1013"/>
        </w:numPr>
      </w:pPr>
      <w:r>
        <w:t xml:space="preserve">Difficulty comparing current results with historical periods</w:t>
      </w:r>
    </w:p>
    <w:p>
      <w:pPr>
        <w:pStyle w:val="Compact"/>
        <w:numPr>
          <w:ilvl w:val="0"/>
          <w:numId w:val="1013"/>
        </w:numPr>
      </w:pPr>
      <w:r>
        <w:t xml:space="preserve">Potential client conflicts and account losses</w:t>
      </w:r>
    </w:p>
    <w:p>
      <w:pPr>
        <w:pStyle w:val="Compact"/>
        <w:numPr>
          <w:ilvl w:val="0"/>
          <w:numId w:val="1013"/>
        </w:numPr>
      </w:pPr>
      <w:r>
        <w:t xml:space="preserve">Questions about the long-term impact of AI on agency pricing</w:t>
      </w:r>
    </w:p>
    <w:p>
      <w:pPr>
        <w:pStyle w:val="Compact"/>
        <w:numPr>
          <w:ilvl w:val="0"/>
          <w:numId w:val="1013"/>
        </w:numPr>
      </w:pPr>
      <w:r>
        <w:t xml:space="preserve">Higher leverage and interest expense</w:t>
      </w:r>
    </w:p>
    <w:p>
      <w:pPr>
        <w:pStyle w:val="Compact"/>
        <w:numPr>
          <w:ilvl w:val="0"/>
          <w:numId w:val="1013"/>
        </w:numPr>
      </w:pPr>
      <w:r>
        <w:t xml:space="preserve">The amount of restructuring needed to achieve synergy targets</w:t>
      </w:r>
    </w:p>
    <w:p>
      <w:pPr>
        <w:pStyle w:val="FirstParagraph"/>
      </w:pPr>
      <w:r>
        <w:t xml:space="preserve">The stock does not appear to require a flawless report, but it likely needs continued proof that margin gains are not coming at the expense of future organic growth.</w:t>
      </w:r>
    </w:p>
    <w:p>
      <w:r>
        <w:pict>
          <v:rect style="width:0;height:1.5pt" o:hralign="center" o:hrstd="t" o:hr="t"/>
        </w:pict>
      </w:r>
    </w:p>
    <w:bookmarkEnd w:id="25"/>
    <w:bookmarkStart w:id="29" w:name="earnings-scorecard"/>
    <w:p>
      <w:pPr>
        <w:pStyle w:val="Heading2"/>
      </w:pPr>
      <w:r>
        <w:t xml:space="preserve">Earnings scorecard</w:t>
      </w:r>
    </w:p>
    <w:bookmarkStart w:id="26" w:name="bullish-result"/>
    <w:p>
      <w:pPr>
        <w:pStyle w:val="Heading3"/>
      </w:pPr>
      <w:r>
        <w:t xml:space="preserve">Bullish result</w:t>
      </w:r>
    </w:p>
    <w:p>
      <w:pPr>
        <w:pStyle w:val="Compact"/>
        <w:numPr>
          <w:ilvl w:val="0"/>
          <w:numId w:val="1014"/>
        </w:numPr>
      </w:pPr>
      <w:r>
        <w:t xml:space="preserve">Core organic growth</w:t>
      </w:r>
      <w:r>
        <w:t xml:space="preserve"> </w:t>
      </w:r>
      <w:r>
        <w:rPr>
          <w:b/>
          <w:bCs/>
        </w:rPr>
        <w:t xml:space="preserve">above 4%–4.5%</w:t>
      </w:r>
    </w:p>
    <w:p>
      <w:pPr>
        <w:pStyle w:val="Compact"/>
        <w:numPr>
          <w:ilvl w:val="0"/>
          <w:numId w:val="1014"/>
        </w:numPr>
      </w:pPr>
      <w:r>
        <w:t xml:space="preserve">Integrated Media remains high single digit</w:t>
      </w:r>
    </w:p>
    <w:p>
      <w:pPr>
        <w:pStyle w:val="Compact"/>
        <w:numPr>
          <w:ilvl w:val="0"/>
          <w:numId w:val="1014"/>
        </w:numPr>
      </w:pPr>
      <w:r>
        <w:t xml:space="preserve">Advertising improves toward flat</w:t>
      </w:r>
    </w:p>
    <w:p>
      <w:pPr>
        <w:pStyle w:val="Compact"/>
        <w:numPr>
          <w:ilvl w:val="0"/>
          <w:numId w:val="1014"/>
        </w:numPr>
      </w:pPr>
      <w:r>
        <w:t xml:space="preserve">Core adjusted EBITA margin</w:t>
      </w:r>
      <w:r>
        <w:t xml:space="preserve"> </w:t>
      </w:r>
      <w:r>
        <w:rPr>
          <w:b/>
          <w:bCs/>
        </w:rPr>
        <w:t xml:space="preserve">around 15% or better</w:t>
      </w:r>
    </w:p>
    <w:p>
      <w:pPr>
        <w:pStyle w:val="Compact"/>
        <w:numPr>
          <w:ilvl w:val="0"/>
          <w:numId w:val="1014"/>
        </w:numPr>
      </w:pPr>
      <w:r>
        <w:t xml:space="preserve">Synergy timetable raised or described as ahead of plan</w:t>
      </w:r>
    </w:p>
    <w:p>
      <w:pPr>
        <w:pStyle w:val="Compact"/>
        <w:numPr>
          <w:ilvl w:val="0"/>
          <w:numId w:val="1014"/>
        </w:numPr>
      </w:pPr>
      <w:r>
        <w:t xml:space="preserve">Adjusted EPS above the roughly $2.64 consensus</w:t>
      </w:r>
    </w:p>
    <w:p>
      <w:pPr>
        <w:pStyle w:val="Compact"/>
        <w:numPr>
          <w:ilvl w:val="0"/>
          <w:numId w:val="1014"/>
        </w:numPr>
      </w:pPr>
      <w:r>
        <w:t xml:space="preserve">Meaningful progress on disposals without major additional losses</w:t>
      </w:r>
    </w:p>
    <w:p>
      <w:pPr>
        <w:pStyle w:val="Compact"/>
        <w:numPr>
          <w:ilvl w:val="0"/>
          <w:numId w:val="1014"/>
        </w:numPr>
      </w:pPr>
      <w:r>
        <w:t xml:space="preserve">Full-year EPS commentary improves</w:t>
      </w:r>
    </w:p>
    <w:bookmarkEnd w:id="26"/>
    <w:bookmarkStart w:id="27" w:name="acceptablebase-result"/>
    <w:p>
      <w:pPr>
        <w:pStyle w:val="Heading3"/>
      </w:pPr>
      <w:r>
        <w:t xml:space="preserve">Acceptable/base result</w:t>
      </w:r>
    </w:p>
    <w:p>
      <w:pPr>
        <w:pStyle w:val="Compact"/>
        <w:numPr>
          <w:ilvl w:val="0"/>
          <w:numId w:val="1015"/>
        </w:numPr>
      </w:pPr>
      <w:r>
        <w:t xml:space="preserve">Core organic growth near</w:t>
      </w:r>
      <w:r>
        <w:t xml:space="preserve"> </w:t>
      </w:r>
      <w:r>
        <w:rPr>
          <w:b/>
          <w:bCs/>
        </w:rPr>
        <w:t xml:space="preserve">4%</w:t>
      </w:r>
    </w:p>
    <w:p>
      <w:pPr>
        <w:pStyle w:val="Compact"/>
        <w:numPr>
          <w:ilvl w:val="0"/>
          <w:numId w:val="1015"/>
        </w:numPr>
      </w:pPr>
      <w:r>
        <w:t xml:space="preserve">Core margin between approximately</w:t>
      </w:r>
      <w:r>
        <w:t xml:space="preserve"> </w:t>
      </w:r>
      <w:r>
        <w:rPr>
          <w:b/>
          <w:bCs/>
        </w:rPr>
        <w:t xml:space="preserve">14.5% and 15%</w:t>
      </w:r>
    </w:p>
    <w:p>
      <w:pPr>
        <w:pStyle w:val="Compact"/>
        <w:numPr>
          <w:ilvl w:val="0"/>
          <w:numId w:val="1015"/>
        </w:numPr>
      </w:pPr>
      <w:r>
        <w:t xml:space="preserve">$900 million synergy and double-digit EPS targets reaffirmed</w:t>
      </w:r>
    </w:p>
    <w:p>
      <w:pPr>
        <w:pStyle w:val="Compact"/>
        <w:numPr>
          <w:ilvl w:val="0"/>
          <w:numId w:val="1015"/>
        </w:numPr>
      </w:pPr>
      <w:r>
        <w:t xml:space="preserve">Disposals and buybacks remain on schedule</w:t>
      </w:r>
    </w:p>
    <w:p>
      <w:pPr>
        <w:pStyle w:val="Compact"/>
        <w:numPr>
          <w:ilvl w:val="0"/>
          <w:numId w:val="1015"/>
        </w:numPr>
      </w:pPr>
      <w:r>
        <w:t xml:space="preserve">No material client or talent disruption</w:t>
      </w:r>
    </w:p>
    <w:bookmarkEnd w:id="27"/>
    <w:bookmarkStart w:id="28" w:name="bearish-result"/>
    <w:p>
      <w:pPr>
        <w:pStyle w:val="Heading3"/>
      </w:pPr>
      <w:r>
        <w:t xml:space="preserve">Bearish result</w:t>
      </w:r>
    </w:p>
    <w:p>
      <w:pPr>
        <w:pStyle w:val="Compact"/>
        <w:numPr>
          <w:ilvl w:val="0"/>
          <w:numId w:val="1016"/>
        </w:numPr>
      </w:pPr>
      <w:r>
        <w:t xml:space="preserve">Core organic growth below</w:t>
      </w:r>
      <w:r>
        <w:t xml:space="preserve"> </w:t>
      </w:r>
      <w:r>
        <w:rPr>
          <w:b/>
          <w:bCs/>
        </w:rPr>
        <w:t xml:space="preserve">3%</w:t>
      </w:r>
    </w:p>
    <w:p>
      <w:pPr>
        <w:pStyle w:val="Compact"/>
        <w:numPr>
          <w:ilvl w:val="0"/>
          <w:numId w:val="1016"/>
        </w:numPr>
      </w:pPr>
      <w:r>
        <w:t xml:space="preserve">Advertising deteriorates further</w:t>
      </w:r>
    </w:p>
    <w:p>
      <w:pPr>
        <w:pStyle w:val="Compact"/>
        <w:numPr>
          <w:ilvl w:val="0"/>
          <w:numId w:val="1016"/>
        </w:numPr>
      </w:pPr>
      <w:r>
        <w:t xml:space="preserve">Integrated Media growth slows materially</w:t>
      </w:r>
    </w:p>
    <w:p>
      <w:pPr>
        <w:pStyle w:val="Compact"/>
        <w:numPr>
          <w:ilvl w:val="0"/>
          <w:numId w:val="1016"/>
        </w:numPr>
      </w:pPr>
      <w:r>
        <w:t xml:space="preserve">Core margin falls below approximately</w:t>
      </w:r>
      <w:r>
        <w:t xml:space="preserve"> </w:t>
      </w:r>
      <w:r>
        <w:rPr>
          <w:b/>
          <w:bCs/>
        </w:rPr>
        <w:t xml:space="preserve">14.5%</w:t>
      </w:r>
    </w:p>
    <w:p>
      <w:pPr>
        <w:pStyle w:val="Compact"/>
        <w:numPr>
          <w:ilvl w:val="0"/>
          <w:numId w:val="1016"/>
        </w:numPr>
      </w:pPr>
      <w:r>
        <w:t xml:space="preserve">More integration costs or disposal losses than anticipated</w:t>
      </w:r>
    </w:p>
    <w:p>
      <w:pPr>
        <w:pStyle w:val="Compact"/>
        <w:numPr>
          <w:ilvl w:val="0"/>
          <w:numId w:val="1016"/>
        </w:numPr>
      </w:pPr>
      <w:r>
        <w:t xml:space="preserve">Slower synergy realization</w:t>
      </w:r>
    </w:p>
    <w:p>
      <w:pPr>
        <w:pStyle w:val="Compact"/>
        <w:numPr>
          <w:ilvl w:val="0"/>
          <w:numId w:val="1016"/>
        </w:numPr>
      </w:pPr>
      <w:r>
        <w:t xml:space="preserve">Evidence of material client losses or senior-talent departures</w:t>
      </w:r>
    </w:p>
    <w:p>
      <w:pPr>
        <w:pStyle w:val="Compact"/>
        <w:numPr>
          <w:ilvl w:val="0"/>
          <w:numId w:val="1016"/>
        </w:numPr>
      </w:pPr>
      <w:r>
        <w:t xml:space="preserve">Cautious commentary on second-half client budgets</w:t>
      </w:r>
    </w:p>
    <w:p>
      <w:r>
        <w:pict>
          <v:rect style="width:0;height:1.5pt" o:hralign="center" o:hrstd="t" o:hr="t"/>
        </w:pict>
      </w:r>
    </w:p>
    <w:bookmarkEnd w:id="28"/>
    <w:bookmarkEnd w:id="29"/>
    <w:bookmarkStart w:id="30" w:name="bottom-line"/>
    <w:p>
      <w:pPr>
        <w:pStyle w:val="Heading2"/>
      </w:pPr>
      <w:r>
        <w:t xml:space="preserve">Bottom line</w:t>
      </w:r>
    </w:p>
    <w:p>
      <w:pPr>
        <w:pStyle w:val="FirstParagraph"/>
      </w:pPr>
      <w:r>
        <w:t xml:space="preserve">The central question is not whether the enlarged Omnicom can produce higher reported revenue and EPS. The acquisition and buyback virtually guarantee favorable headline comparisons.</w:t>
      </w:r>
    </w:p>
    <w:p>
      <w:pPr>
        <w:pStyle w:val="BodyText"/>
      </w:pPr>
      <w:r>
        <w:t xml:space="preserve">The real test is whether Omnicom can simultaneously produce:</w:t>
      </w:r>
    </w:p>
    <w:p>
      <w:pPr>
        <w:pStyle w:val="Compact"/>
        <w:numPr>
          <w:ilvl w:val="0"/>
          <w:numId w:val="1017"/>
        </w:numPr>
      </w:pPr>
      <w:r>
        <w:rPr>
          <w:b/>
          <w:bCs/>
        </w:rPr>
        <w:t xml:space="preserve">Approximately 4% organic growth</w:t>
      </w:r>
    </w:p>
    <w:p>
      <w:pPr>
        <w:pStyle w:val="Compact"/>
        <w:numPr>
          <w:ilvl w:val="0"/>
          <w:numId w:val="1017"/>
        </w:numPr>
      </w:pPr>
      <w:r>
        <w:rPr>
          <w:b/>
          <w:bCs/>
        </w:rPr>
        <w:t xml:space="preserve">Sustainable margin expansion</w:t>
      </w:r>
    </w:p>
    <w:p>
      <w:pPr>
        <w:pStyle w:val="Compact"/>
        <w:numPr>
          <w:ilvl w:val="0"/>
          <w:numId w:val="1017"/>
        </w:numPr>
      </w:pPr>
      <w:r>
        <w:rPr>
          <w:b/>
          <w:bCs/>
        </w:rPr>
        <w:t xml:space="preserve">Clean execution of the IPG integration</w:t>
      </w:r>
    </w:p>
    <w:p>
      <w:pPr>
        <w:pStyle w:val="Compact"/>
        <w:numPr>
          <w:ilvl w:val="0"/>
          <w:numId w:val="1017"/>
        </w:numPr>
      </w:pPr>
      <w:r>
        <w:rPr>
          <w:b/>
          <w:bCs/>
        </w:rPr>
        <w:t xml:space="preserve">Improved revenue quality after disposals</w:t>
      </w:r>
    </w:p>
    <w:p>
      <w:pPr>
        <w:pStyle w:val="Compact"/>
        <w:numPr>
          <w:ilvl w:val="0"/>
          <w:numId w:val="1017"/>
        </w:numPr>
      </w:pPr>
      <w:r>
        <w:rPr>
          <w:b/>
          <w:bCs/>
        </w:rPr>
        <w:t xml:space="preserve">Double-digit per-share earnings growth without weakening the balance sheet</w:t>
      </w:r>
    </w:p>
    <w:p>
      <w:pPr>
        <w:pStyle w:val="FirstParagraph"/>
      </w:pPr>
      <w:r>
        <w:t xml:space="preserve">A print combining roughly 4% or better core growth with a near-15% core EBITA margin would reinforce the case that the IPG transaction is creating operational value, not merely financial engineering. Conversely, weak organic growth would be difficult to dismiss even if aggressive cost reductions and share repurchases produce an EPS beat.</w:t>
      </w:r>
    </w:p>
    <w:bookmarkEnd w:id="30"/>
    <w:bookmarkEnd w:id="31"/>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19" Target="https://investor.omc.com/news/news-details/2026/Omnicom-Announces-5-Billion-Share-Repurchase-Program-and-Entry-into-2-5-Billion-of-Accelerated-Share-Repurchase-Arrangements/default.aspx?utm_source=openai" TargetMode="External" /><Relationship Type="http://schemas.openxmlformats.org/officeDocument/2006/relationships/hyperlink" Id="rId10" Target="https://investor.omc.com/news/news-details/2026/Omnicom-Reports-First-Quarter-2026-Results/default.aspx?utm_source=openai" TargetMode="External" /><Relationship Type="http://schemas.openxmlformats.org/officeDocument/2006/relationships/hyperlink" Id="rId24" Target="https://www.barchart.com/stocks/quotes/OMC/earnings-estimates?utm_source=openai" TargetMode="External" /><Relationship Type="http://schemas.openxmlformats.org/officeDocument/2006/relationships/hyperlink" Id="rId12" Target="https://www.marketbeat.com/earnings/reports/2026-7-28-omnicom-group-inc-stock/?utm_source=openai" TargetMode="External" /><Relationship Type="http://schemas.openxmlformats.org/officeDocument/2006/relationships/hyperlink" Id="rId9" Target="https://www.omc.com/newsroom/omnicom-schedules-second-quarter-2026-earnings-release-and-conference-call/?utm_source=openai" TargetMode="External" /></Relationships>
</file>

<file path=word/_rels/footnotes.xml.rels><?xml version="1.0" encoding="UTF-8"?><Relationships xmlns="http://schemas.openxmlformats.org/package/2006/relationships"><Relationship Type="http://schemas.openxmlformats.org/officeDocument/2006/relationships/hyperlink" Id="rId19" Target="https://investor.omc.com/news/news-details/2026/Omnicom-Announces-5-Billion-Share-Repurchase-Program-and-Entry-into-2-5-Billion-of-Accelerated-Share-Repurchase-Arrangements/default.aspx?utm_source=openai" TargetMode="External" /><Relationship Type="http://schemas.openxmlformats.org/officeDocument/2006/relationships/hyperlink" Id="rId10" Target="https://investor.omc.com/news/news-details/2026/Omnicom-Reports-First-Quarter-2026-Results/default.aspx?utm_source=openai" TargetMode="External" /><Relationship Type="http://schemas.openxmlformats.org/officeDocument/2006/relationships/hyperlink" Id="rId24" Target="https://www.barchart.com/stocks/quotes/OMC/earnings-estimates?utm_source=openai" TargetMode="External" /><Relationship Type="http://schemas.openxmlformats.org/officeDocument/2006/relationships/hyperlink" Id="rId12" Target="https://www.marketbeat.com/earnings/reports/2026-7-28-omnicom-group-inc-stock/?utm_source=openai" TargetMode="External" /><Relationship Type="http://schemas.openxmlformats.org/officeDocument/2006/relationships/hyperlink" Id="rId9" Target="https://www.omc.com/newsroom/omnicom-schedules-second-quarter-2026-earnings-release-and-conference-call/?utm_source=openai"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2026-07-28T01:12:23Z</dcterms:created>
  <dcterms:modified xsi:type="dcterms:W3CDTF">2026-07-28T01:12:23Z</dcterms:modified>
</cp:coreProperties>
</file>

<file path=docProps/custom.xml><?xml version="1.0" encoding="utf-8"?>
<Properties xmlns="http://schemas.openxmlformats.org/officeDocument/2006/custom-properties" xmlns:vt="http://schemas.openxmlformats.org/officeDocument/2006/docPropsVTypes"/>
</file>