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mc-earnings-predictions--2026-07-28"/>
    <w:p>
      <w:pPr>
        <w:pStyle w:val="Heading1"/>
      </w:pPr>
      <w:r>
        <w:t xml:space="preserve">OMC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~$2.28 vs. cons $2.20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organic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~4.3% vs. cons 4.0%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adjusted EBITDA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~15.5% vs. cons 15.2%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constant-currency 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~4.2% vs. cons 4.0%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~13.0% vs. cons 11.5%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cost-reduction synergies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~$950M vs. cons $900M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+7.2% (FOLLOW-THROUGH)</w:t>
            </w:r>
          </w:p>
        </w:tc>
        <w:tc>
          <w:tcPr/>
          <w:p>
            <w:pPr>
              <w:pStyle w:val="Compact"/>
            </w:pPr>
            <w:r>
              <w:t xml:space="preserve">~4.8% day-1 residual expands to ~7.2% over five days because an organic-growth beat and higher ~13.0% FY2026 EPS framework versus ~11.5% consensus should drive upward out-period estimates; better ~</w:t>
            </w:r>
            <w:r>
              <w:t xml:space="preserve"> </w:t>
            </w:r>
            <m:oMath>
              <m:r>
                <m:t>950</m:t>
              </m:r>
              <m:r>
                <m:t>M</m:t>
              </m:r>
              <m:r>
                <m:t>s</m:t>
              </m:r>
              <m:r>
                <m:t>y</m:t>
              </m:r>
              <m:r>
                <m:t>n</m:t>
              </m:r>
              <m:r>
                <m:t>e</m:t>
              </m:r>
              <m:r>
                <m:t>r</m:t>
              </m:r>
              <m:r>
                <m:t>g</m:t>
              </m:r>
              <m:r>
                <m:t>y</m:t>
              </m:r>
              <m:r>
                <m:t>d</m:t>
              </m:r>
              <m:r>
                <m:t>e</m:t>
              </m:r>
              <m:r>
                <m:t>l</m:t>
              </m:r>
              <m:r>
                <m:t>i</m:t>
              </m:r>
              <m:r>
                <m:t>v</m:t>
              </m:r>
              <m:r>
                <m:t>e</m:t>
              </m:r>
              <m:r>
                <m:t>r</m:t>
              </m:r>
              <m:r>
                <m:t>y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900M supports durable margin and buyback-driven EPS revisions rather than a one-quarter-only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2026-07-28T01:11:27Z</dcterms:created>
  <dcterms:modified xsi:type="dcterms:W3CDTF">2026-07-28T01:11:27Z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