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omnicom-nyse-omc--2q26-earnings-preview"/>
    <w:p>
      <w:pPr>
        <w:pStyle w:val="Heading1"/>
      </w:pPr>
      <w:r>
        <w:t xml:space="preserve">Omnicom (NYSE: OMC) — 2Q26 Earnings Preview</w:t>
      </w:r>
    </w:p>
    <w:p>
      <w:pPr>
        <w:pStyle w:val="BlockText"/>
      </w:pPr>
      <w:r>
        <w:rPr>
          <w:b/>
          <w:bCs/>
        </w:rPr>
        <w:t xml:space="preserve">Timing correction:</w:t>
      </w:r>
      <w:r>
        <w:t xml:space="preserve"> </w:t>
      </w:r>
      <w:r>
        <w:t xml:space="preserve">Omnicom reports</w:t>
      </w:r>
      <w:r>
        <w:t xml:space="preserve"> </w:t>
      </w:r>
      <w:r>
        <w:rPr>
          <w:b/>
          <w:bCs/>
        </w:rPr>
        <w:t xml:space="preserve">today, Tuesday, July 28, 2026</w:t>
      </w:r>
      <w:r>
        <w:t xml:space="preserve">, after the NYSE close, with its earnings call at</w:t>
      </w:r>
      <w:r>
        <w:t xml:space="preserve"> </w:t>
      </w:r>
      <w:r>
        <w:rPr>
          <w:b/>
          <w:bCs/>
        </w:rPr>
        <w:t xml:space="preserve">4:30 p.m. ET</w:t>
      </w:r>
      <w:r>
        <w:t xml:space="preserve">—not tomorrow.</w:t>
      </w:r>
    </w:p>
    <w:bookmarkStart w:id="9" w:name="investment-framing"/>
    <w:p>
      <w:pPr>
        <w:pStyle w:val="Heading2"/>
      </w:pPr>
      <w:r>
        <w:t xml:space="preserve">Investment framing</w:t>
      </w:r>
    </w:p>
    <w:p>
      <w:pPr>
        <w:pStyle w:val="FirstParagraph"/>
      </w:pPr>
      <w:r>
        <w:t xml:space="preserve">This is the second quarterly report for the combined Omnicom–IPG organization and the first meaningful test of whether the strong initial integration economics can persist while the company navigates a less certain client-spending environment.</w:t>
      </w:r>
    </w:p>
    <w:p>
      <w:pPr>
        <w:pStyle w:val="BodyText"/>
      </w:pPr>
      <w:r>
        <w:t xml:space="preserve">The central question is</w:t>
      </w:r>
      <w:r>
        <w:t xml:space="preserve"> </w:t>
      </w:r>
      <w:r>
        <w:rPr>
          <w:b/>
          <w:bCs/>
        </w:rPr>
        <w:t xml:space="preserve">not reported revenue growth</w:t>
      </w:r>
      <w:r>
        <w:t xml:space="preserve">, which remains heavily distorted by the IPG acquisition, FX, and asset sales. The key issue is whether Omnicom can maintain roughly</w:t>
      </w:r>
      <w:r>
        <w:t xml:space="preserve"> </w:t>
      </w:r>
      <w:r>
        <w:rPr>
          <w:b/>
          <w:bCs/>
        </w:rPr>
        <w:t xml:space="preserve">4% core organic growth</w:t>
      </w:r>
      <w:r>
        <w:t xml:space="preserve">, demonstrate further</w:t>
      </w:r>
      <w:r>
        <w:t xml:space="preserve"> </w:t>
      </w:r>
      <w:r>
        <w:rPr>
          <w:b/>
          <w:bCs/>
        </w:rPr>
        <w:t xml:space="preserve">synergy conversion into margin</w:t>
      </w:r>
      <w:r>
        <w:t xml:space="preserve">, and support its full-year outlook for</w:t>
      </w:r>
      <w:r>
        <w:t xml:space="preserve"> </w:t>
      </w:r>
      <w:r>
        <w:rPr>
          <w:b/>
          <w:bCs/>
        </w:rPr>
        <w:t xml:space="preserve">double-digit adjusted EPS growth</w:t>
      </w:r>
      <w:r>
        <w:t xml:space="preserve">.</w:t>
      </w:r>
    </w:p>
    <w:p>
      <w:pPr>
        <w:pStyle w:val="BodyText"/>
      </w:pPr>
      <w:r>
        <w:t xml:space="preserve">The setup appears constructive: Q1 core organic growth was 3.9%, Integrated Media grew at a high-single-digit rate, and core adjusted EBITA margin expanded 240 bps year over year to 14.8%. But expectations are no longer simply for a clean integration. Investors will want proof that the new operating model—built around media, data, Acxiom identity assets, commerce, and AI-enabled workflows—is producing durable client growth rather than just cost savings.</w:t>
      </w:r>
    </w:p>
    <w:bookmarkEnd w:id="9"/>
    <w:bookmarkStart w:id="14" w:name="what-matters-most-in-2q"/>
    <w:p>
      <w:pPr>
        <w:pStyle w:val="Heading2"/>
      </w:pPr>
      <w:r>
        <w:t xml:space="preserve">What matters most in 2Q</w:t>
      </w:r>
    </w:p>
    <w:bookmarkStart w:id="10" w:name="Xbf60d24b451b424840e91622e38c49a2c00f195"/>
    <w:p>
      <w:pPr>
        <w:pStyle w:val="Heading3"/>
      </w:pPr>
      <w:r>
        <w:t xml:space="preserve">1. Core organic growth: can OMC stay on or above the 4% full-year framework?</w:t>
      </w:r>
    </w:p>
    <w:p>
      <w:pPr>
        <w:pStyle w:val="FirstParagraph"/>
      </w:pPr>
      <w:r>
        <w:t xml:space="preserve">Management’s 2026 outlook calls for approximately</w:t>
      </w:r>
      <w:r>
        <w:t xml:space="preserve"> </w:t>
      </w:r>
      <w:r>
        <w:rPr>
          <w:b/>
          <w:bCs/>
        </w:rPr>
        <w:t xml:space="preserve">4% constant-currency growth</w:t>
      </w:r>
      <w:r>
        <w:t xml:space="preserve"> </w:t>
      </w:r>
      <w:r>
        <w:t xml:space="preserve">in core operations, based on a $23.1 billion 2025 combined, post-disposition revenue base. Q1 delivered</w:t>
      </w:r>
      <w:r>
        <w:t xml:space="preserve"> </w:t>
      </w:r>
      <w:r>
        <w:rPr>
          <w:b/>
          <w:bCs/>
        </w:rPr>
        <w:t xml:space="preserve">3.9% organic growth</w:t>
      </w:r>
      <w:r>
        <w:t xml:space="preserve">, effectively in line with that target.</w:t>
      </w:r>
    </w:p>
    <w:p>
      <w:pPr>
        <w:pStyle w:val="BodyText"/>
      </w:pPr>
      <w:r>
        <w:t xml:space="preserve">For Q2, investors should focus on:</w:t>
      </w:r>
    </w:p>
    <w:p>
      <w:pPr>
        <w:pStyle w:val="Compact"/>
        <w:numPr>
          <w:ilvl w:val="0"/>
          <w:numId w:val="1001"/>
        </w:numPr>
      </w:pPr>
      <w:r>
        <w:rPr>
          <w:b/>
          <w:bCs/>
        </w:rPr>
        <w:t xml:space="preserve">Integrated Media:</w:t>
      </w:r>
      <w:r>
        <w:t xml:space="preserve"> </w:t>
      </w:r>
      <w:r>
        <w:t xml:space="preserve">The principal growth engine, representing 51.5% of Q1 core revenue. It grew high single digits in Q1 and needs to remain strong as Omnicom leans into media, commerce, data, CRM, consulting, and automated content.</w:t>
      </w:r>
    </w:p>
    <w:p>
      <w:pPr>
        <w:pStyle w:val="Compact"/>
        <w:numPr>
          <w:ilvl w:val="0"/>
          <w:numId w:val="1001"/>
        </w:numPr>
      </w:pPr>
      <w:r>
        <w:rPr>
          <w:b/>
          <w:bCs/>
        </w:rPr>
        <w:t xml:space="preserve">Advertising:</w:t>
      </w:r>
      <w:r>
        <w:t xml:space="preserve"> </w:t>
      </w:r>
      <w:r>
        <w:t xml:space="preserve">This discipline declined in Q1. A stabilization—or at least a credible explanation around timing, client-specific activity, and creative-production mix—would improve confidence in the broader portfolio.</w:t>
      </w:r>
    </w:p>
    <w:p>
      <w:pPr>
        <w:pStyle w:val="Compact"/>
        <w:numPr>
          <w:ilvl w:val="0"/>
          <w:numId w:val="1001"/>
        </w:numPr>
      </w:pPr>
      <w:r>
        <w:rPr>
          <w:b/>
          <w:bCs/>
        </w:rPr>
        <w:t xml:space="preserve">Health, PR, and Experiential:</w:t>
      </w:r>
      <w:r>
        <w:t xml:space="preserve"> </w:t>
      </w:r>
      <w:r>
        <w:t xml:space="preserve">Q1 commentary pointed to positive Health growth and mid-single-digit growth in PR and Experiential &amp; Other. These businesses should provide diversification, especially given Omnicom’s increased pharma/health exposure.</w:t>
      </w:r>
    </w:p>
    <w:p>
      <w:pPr>
        <w:pStyle w:val="Compact"/>
        <w:numPr>
          <w:ilvl w:val="0"/>
          <w:numId w:val="1001"/>
        </w:numPr>
      </w:pPr>
      <w:r>
        <w:rPr>
          <w:b/>
          <w:bCs/>
        </w:rPr>
        <w:t xml:space="preserve">Geography:</w:t>
      </w:r>
      <w:r>
        <w:t xml:space="preserve"> </w:t>
      </w:r>
      <w:r>
        <w:t xml:space="preserve">Q1 U.S. core growth was mid-single digit, while the U.K. and Middle East &amp; Africa declined. Improvement outside the U.S. would make the 4% organic-growth target more credible.</w:t>
      </w:r>
    </w:p>
    <w:p>
      <w:pPr>
        <w:pStyle w:val="FirstParagraph"/>
      </w:pPr>
      <w:r>
        <w:t xml:space="preserve">A favorable FX backdrop could lift reported revenue: management indicated at Q1 that, if March 31 exchange rates held, FX would add roughly</w:t>
      </w:r>
      <w:r>
        <w:t xml:space="preserve"> </w:t>
      </w:r>
      <w:r>
        <w:rPr>
          <w:b/>
          <w:bCs/>
        </w:rPr>
        <w:t xml:space="preserve">3% to Q2 reported revenue</w:t>
      </w:r>
      <w:r>
        <w:t xml:space="preserve">. That makes the organic-growth figure more important than the headline top line.</w:t>
      </w:r>
    </w:p>
    <w:bookmarkEnd w:id="10"/>
    <w:bookmarkStart w:id="11" w:name="X7963b9ddaa8fcf0598de50be7c15645572e7d83"/>
    <w:p>
      <w:pPr>
        <w:pStyle w:val="Heading3"/>
      </w:pPr>
      <w:r>
        <w:t xml:space="preserve">2. Synergies and core margin: the most important earnings lever</w:t>
      </w:r>
    </w:p>
    <w:p>
      <w:pPr>
        <w:pStyle w:val="FirstParagraph"/>
      </w:pPr>
      <w:r>
        <w:t xml:space="preserve">The merger thesis is principally a margin and EPS story in 2026. Omnicom has targeted:</w:t>
      </w:r>
    </w:p>
    <w:p>
      <w:pPr>
        <w:pStyle w:val="Compact"/>
        <w:numPr>
          <w:ilvl w:val="0"/>
          <w:numId w:val="1002"/>
        </w:numPr>
      </w:pPr>
      <w:r>
        <w:rPr>
          <w:b/>
          <w:bCs/>
        </w:rPr>
        <w:t xml:space="preserve">$900 million</w:t>
      </w:r>
      <w:r>
        <w:t xml:space="preserve"> </w:t>
      </w:r>
      <w:r>
        <w:t xml:space="preserve">of cost-reduction synergies in 2026;</w:t>
      </w:r>
    </w:p>
    <w:p>
      <w:pPr>
        <w:pStyle w:val="Compact"/>
        <w:numPr>
          <w:ilvl w:val="0"/>
          <w:numId w:val="1002"/>
        </w:numPr>
      </w:pPr>
      <w:r>
        <w:rPr>
          <w:b/>
          <w:bCs/>
        </w:rPr>
        <w:t xml:space="preserve">$1.3 billion</w:t>
      </w:r>
      <w:r>
        <w:t xml:space="preserve"> </w:t>
      </w:r>
      <w:r>
        <w:t xml:space="preserve">in 2027; and</w:t>
      </w:r>
    </w:p>
    <w:p>
      <w:pPr>
        <w:pStyle w:val="Compact"/>
        <w:numPr>
          <w:ilvl w:val="0"/>
          <w:numId w:val="1002"/>
        </w:numPr>
      </w:pPr>
      <w:r>
        <w:rPr>
          <w:b/>
          <w:bCs/>
        </w:rPr>
        <w:t xml:space="preserve">$1.5 billion</w:t>
      </w:r>
      <w:r>
        <w:t xml:space="preserve"> </w:t>
      </w:r>
      <w:r>
        <w:t xml:space="preserve">by mid-2028.</w:t>
      </w:r>
    </w:p>
    <w:p>
      <w:pPr>
        <w:pStyle w:val="FirstParagraph"/>
      </w:pPr>
      <w:r>
        <w:t xml:space="preserve">Management previously estimated that</w:t>
      </w:r>
      <w:r>
        <w:t xml:space="preserve"> </w:t>
      </w:r>
      <w:r>
        <w:rPr>
          <w:b/>
          <w:bCs/>
        </w:rPr>
        <w:t xml:space="preserve">75%–80% of 2026 savings</w:t>
      </w:r>
      <w:r>
        <w:t xml:space="preserve"> </w:t>
      </w:r>
      <w:r>
        <w:t xml:space="preserve">would flow through to EBITDA and net income, with the remainder reinvested in growth areas such as data, AI, Omni, and connected capabilities.</w:t>
      </w:r>
    </w:p>
    <w:p>
      <w:pPr>
        <w:pStyle w:val="BodyText"/>
      </w:pPr>
      <w:r>
        <w:t xml:space="preserve">Q1 was an encouraging opening data point: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core operations</w:t>
            </w:r>
          </w:p>
        </w:tc>
        <w:tc>
          <w:tcPr/>
          <w:p>
            <w:pPr>
              <w:pStyle w:val="Compact"/>
              <w:jc w:val="right"/>
            </w:pPr>
            <w:r>
              <w:t xml:space="preserve">1Q26</w:t>
            </w:r>
          </w:p>
        </w:tc>
      </w:tr>
      <w:tr>
        <w:tc>
          <w:tcPr/>
          <w:p>
            <w:pPr>
              <w:pStyle w:val="Compact"/>
            </w:pPr>
            <w:r>
              <w:t xml:space="preserve">Revenue</w:t>
            </w:r>
          </w:p>
        </w:tc>
        <w:tc>
          <w:tcPr/>
          <w:p>
            <w:pPr>
              <w:pStyle w:val="Compact"/>
              <w:jc w:val="right"/>
            </w:pPr>
            <w:r>
              <w:t xml:space="preserve">$5.6B</w:t>
            </w:r>
          </w:p>
        </w:tc>
      </w:tr>
      <w:tr>
        <w:tc>
          <w:tcPr/>
          <w:p>
            <w:pPr>
              <w:pStyle w:val="Compact"/>
            </w:pPr>
            <w:r>
              <w:t xml:space="preserve">Organic growth</w:t>
            </w:r>
          </w:p>
        </w:tc>
        <w:tc>
          <w:tcPr/>
          <w:p>
            <w:pPr>
              <w:pStyle w:val="Compact"/>
              <w:jc w:val="right"/>
            </w:pPr>
            <w:r>
              <w:t xml:space="preserve">3.9%</w:t>
            </w:r>
          </w:p>
        </w:tc>
      </w:tr>
      <w:tr>
        <w:tc>
          <w:tcPr/>
          <w:p>
            <w:pPr>
              <w:pStyle w:val="Compact"/>
            </w:pPr>
            <w:r>
              <w:t xml:space="preserve">Adjusted EBITA</w:t>
            </w:r>
          </w:p>
        </w:tc>
        <w:tc>
          <w:tcPr/>
          <w:p>
            <w:pPr>
              <w:pStyle w:val="Compact"/>
              <w:jc w:val="right"/>
            </w:pPr>
            <w:r>
              <w:t xml:space="preserve">$833.5M</w:t>
            </w:r>
          </w:p>
        </w:tc>
      </w:tr>
      <w:tr>
        <w:tc>
          <w:tcPr/>
          <w:p>
            <w:pPr>
              <w:pStyle w:val="Compact"/>
            </w:pPr>
            <w:r>
              <w:t xml:space="preserve">Adjusted EBITA margin</w:t>
            </w:r>
          </w:p>
        </w:tc>
        <w:tc>
          <w:tcPr/>
          <w:p>
            <w:pPr>
              <w:pStyle w:val="Compact"/>
              <w:jc w:val="right"/>
            </w:pPr>
            <w:r>
              <w:rPr>
                <w:b/>
                <w:bCs/>
              </w:rPr>
              <w:t xml:space="preserve">14.8%</w:t>
            </w:r>
          </w:p>
        </w:tc>
      </w:tr>
      <w:tr>
        <w:tc>
          <w:tcPr/>
          <w:p>
            <w:pPr>
              <w:pStyle w:val="Compact"/>
            </w:pPr>
            <w:r>
              <w:t xml:space="preserve">Margin expansion vs. combined 1Q25</w:t>
            </w:r>
          </w:p>
        </w:tc>
        <w:tc>
          <w:tcPr/>
          <w:p>
            <w:pPr>
              <w:pStyle w:val="Compact"/>
              <w:jc w:val="right"/>
            </w:pPr>
            <w:r>
              <w:rPr>
                <w:b/>
                <w:bCs/>
              </w:rPr>
              <w:t xml:space="preserve">+240 bps</w:t>
            </w:r>
          </w:p>
        </w:tc>
      </w:tr>
    </w:tbl>
    <w:p>
      <w:pPr>
        <w:pStyle w:val="BodyText"/>
      </w:pPr>
      <w:r>
        <w:t xml:space="preserve">For Q2, a sustained or improved core adjusted EBITA margin would reinforce the view that integration savings are arriving ahead of schedule. Conversely, margin pressure—particularly if framed as reinvestment, separation friction, or slower revenue—would likely matter more to the stock than a small revenue miss.</w:t>
      </w:r>
    </w:p>
    <w:bookmarkEnd w:id="11"/>
    <w:bookmarkStart w:id="12" w:name="Xca9b8adef982cf8df8532f0b6b468404c24702b"/>
    <w:p>
      <w:pPr>
        <w:pStyle w:val="Heading3"/>
      </w:pPr>
      <w:r>
        <w:t xml:space="preserve">3. Portfolio dispositions: progress matters more than proceeds</w:t>
      </w:r>
    </w:p>
    <w:p>
      <w:pPr>
        <w:pStyle w:val="FirstParagraph"/>
      </w:pPr>
      <w:r>
        <w:t xml:space="preserve">Omnicom identified roughly</w:t>
      </w:r>
      <w:r>
        <w:t xml:space="preserve"> </w:t>
      </w:r>
      <m:oMath>
        <m:r>
          <m:t>3.2</m:t>
        </m:r>
        <m:r>
          <m:t>b</m:t>
        </m:r>
        <m:r>
          <m:t>i</m:t>
        </m:r>
        <m:r>
          <m:t>l</m:t>
        </m:r>
        <m:r>
          <m:t>l</m:t>
        </m:r>
        <m:r>
          <m:t>i</m:t>
        </m:r>
        <m:r>
          <m:t>o</m:t>
        </m:r>
        <m:r>
          <m:t>n</m:t>
        </m:r>
        <m:r>
          <m:t>o</m:t>
        </m:r>
        <m:r>
          <m:t>f</m:t>
        </m:r>
        <m:r>
          <m:t>a</m:t>
        </m:r>
        <m:r>
          <m:t>n</m:t>
        </m:r>
        <m:r>
          <m:t>n</m:t>
        </m:r>
        <m:r>
          <m:t>u</m:t>
        </m:r>
        <m:r>
          <m:t>a</m:t>
        </m:r>
        <m:r>
          <m:t>l</m:t>
        </m:r>
        <m:r>
          <m:t>r</m:t>
        </m:r>
        <m:r>
          <m:t>e</m:t>
        </m:r>
        <m:r>
          <m:t>v</m:t>
        </m:r>
        <m:r>
          <m:t>e</m:t>
        </m:r>
        <m:r>
          <m:t>n</m:t>
        </m:r>
        <m:r>
          <m:t>u</m:t>
        </m:r>
        <m:r>
          <m:t>e</m:t>
        </m:r>
        <m:r>
          <m:rPr>
            <m:sty m:val="p"/>
          </m:rPr>
          <m:t>*</m:t>
        </m:r>
        <m:r>
          <m:rPr>
            <m:sty m:val="p"/>
          </m:rPr>
          <m:t>*</m:t>
        </m:r>
        <m:r>
          <m:t>t</m:t>
        </m:r>
        <m:r>
          <m:t>i</m:t>
        </m:r>
        <m:r>
          <m:t>e</m:t>
        </m:r>
        <m:r>
          <m:t>d</m:t>
        </m:r>
        <m:r>
          <m:t>t</m:t>
        </m:r>
        <m:r>
          <m:t>o</m:t>
        </m:r>
        <m:r>
          <m:t>p</m:t>
        </m:r>
        <m:r>
          <m:t>l</m:t>
        </m:r>
        <m:r>
          <m:t>a</m:t>
        </m:r>
        <m:r>
          <m:t>n</m:t>
        </m:r>
        <m:r>
          <m:t>n</m:t>
        </m:r>
        <m:r>
          <m:t>e</m:t>
        </m:r>
        <m:r>
          <m:t>d</m:t>
        </m:r>
        <m:r>
          <m:t>d</m:t>
        </m:r>
        <m:r>
          <m:t>i</m:t>
        </m:r>
        <m:r>
          <m:t>s</m:t>
        </m:r>
        <m:r>
          <m:t>p</m:t>
        </m:r>
        <m:r>
          <m:t>o</m:t>
        </m:r>
        <m:r>
          <m:t>s</m:t>
        </m:r>
        <m:r>
          <m:t>i</m:t>
        </m:r>
        <m:r>
          <m:t>t</m:t>
        </m:r>
        <m:r>
          <m:t>i</m:t>
        </m:r>
        <m:r>
          <m:t>o</m:t>
        </m:r>
        <m:r>
          <m:t>n</m:t>
        </m:r>
        <m:r>
          <m:t>s</m:t>
        </m:r>
        <m:r>
          <m:t>a</m:t>
        </m:r>
        <m:r>
          <m:t>n</m:t>
        </m:r>
        <m:r>
          <m:t>d</m:t>
        </m:r>
        <m:r>
          <m:t>b</m:t>
        </m:r>
        <m:r>
          <m:t>u</m:t>
        </m:r>
        <m:r>
          <m:t>s</m:t>
        </m:r>
        <m:r>
          <m:t>i</m:t>
        </m:r>
        <m:r>
          <m:t>n</m:t>
        </m:r>
        <m:r>
          <m:t>e</m:t>
        </m:r>
        <m:r>
          <m:t>s</m:t>
        </m:r>
        <m:r>
          <m:t>s</m:t>
        </m:r>
        <m:r>
          <m:t>e</m:t>
        </m:r>
        <m:r>
          <m:t>s</m:t>
        </m:r>
        <m:r>
          <m:t>h</m:t>
        </m:r>
        <m:r>
          <m:t>e</m:t>
        </m:r>
        <m:r>
          <m:t>l</m:t>
        </m:r>
        <m:r>
          <m:t>d</m:t>
        </m:r>
        <m:r>
          <m:t>f</m:t>
        </m:r>
        <m:r>
          <m:t>o</m:t>
        </m:r>
        <m:r>
          <m:t>r</m:t>
        </m:r>
        <m:r>
          <m:t>s</m:t>
        </m:r>
        <m:r>
          <m:t>a</m:t>
        </m:r>
        <m:r>
          <m:t>l</m:t>
        </m:r>
        <m:r>
          <m:t>e</m:t>
        </m:r>
        <m:r>
          <m:rPr>
            <m:sty m:val="p"/>
          </m:rPr>
          <m:t>.</m:t>
        </m:r>
        <m:r>
          <m:t>A</m:t>
        </m:r>
        <m:r>
          <m:t>b</m:t>
        </m:r>
        <m:r>
          <m:t>o</m:t>
        </m:r>
        <m:r>
          <m:t>u</m:t>
        </m:r>
        <m:r>
          <m:t>t</m:t>
        </m:r>
        <m:r>
          <m:rPr>
            <m:sty m:val="p"/>
          </m:rPr>
          <m:t>*</m:t>
        </m:r>
        <m:r>
          <m:rPr>
            <m:sty m:val="p"/>
          </m:rPr>
          <m:t>*</m:t>
        </m:r>
      </m:oMath>
      <w:r>
        <w:rPr>
          <w:b/>
          <w:bCs/>
        </w:rPr>
        <w:t xml:space="preserve">1 billion</w:t>
      </w:r>
      <w:r>
        <w:t xml:space="preserve"> </w:t>
      </w:r>
      <w:r>
        <w:t xml:space="preserve">of annual revenue had already been disposed of by the end of Q1.</w:t>
      </w:r>
    </w:p>
    <w:p>
      <w:pPr>
        <w:pStyle w:val="BodyText"/>
      </w:pPr>
      <w:r>
        <w:t xml:space="preserve">This makes reported results unusually noisy. Investors should separate:</w:t>
      </w:r>
    </w:p>
    <w:p>
      <w:pPr>
        <w:pStyle w:val="Compact"/>
        <w:numPr>
          <w:ilvl w:val="0"/>
          <w:numId w:val="1003"/>
        </w:numPr>
      </w:pPr>
      <w:r>
        <w:rPr>
          <w:b/>
          <w:bCs/>
        </w:rPr>
        <w:t xml:space="preserve">Core Operations</w:t>
      </w:r>
      <w:r>
        <w:t xml:space="preserve"> </w:t>
      </w:r>
      <w:r>
        <w:t xml:space="preserve">— management’s definition of the go-forward business; and</w:t>
      </w:r>
    </w:p>
    <w:p>
      <w:pPr>
        <w:pStyle w:val="Compact"/>
        <w:numPr>
          <w:ilvl w:val="0"/>
          <w:numId w:val="1003"/>
        </w:numPr>
      </w:pPr>
      <w:r>
        <w:rPr>
          <w:b/>
          <w:bCs/>
        </w:rPr>
        <w:t xml:space="preserve">Disposed/held-for-sale operations</w:t>
      </w:r>
      <w:r>
        <w:t xml:space="preserve"> </w:t>
      </w:r>
      <w:r>
        <w:t xml:space="preserve">— lower-growth, lower-margin assets expected to exit over coming quarters.</w:t>
      </w:r>
    </w:p>
    <w:p>
      <w:pPr>
        <w:pStyle w:val="FirstParagraph"/>
      </w:pPr>
      <w:r>
        <w:t xml:space="preserve">The favorable outcome is meaningful progress in reducing this residual revenue bucket without new material losses or extended disruption. The company has been clear that asset-sale proceeds are difficult to forecast and are not expected to be a major contributor to 2026 net income; the strategic value is simplifying the portfolio and improving the growth/margin profile.</w:t>
      </w:r>
    </w:p>
    <w:bookmarkEnd w:id="12"/>
    <w:bookmarkStart w:id="13" w:name="Xd255097daf8598e160dd7348fcc442ab0658beb"/>
    <w:p>
      <w:pPr>
        <w:pStyle w:val="Heading3"/>
      </w:pPr>
      <w:r>
        <w:t xml:space="preserve">4. Capital returns should continue to support EPS</w:t>
      </w:r>
    </w:p>
    <w:p>
      <w:pPr>
        <w:pStyle w:val="FirstParagraph"/>
      </w:pPr>
      <w:r>
        <w:t xml:space="preserve">OMC entered 2026 with a substantial buyback program:</w:t>
      </w:r>
    </w:p>
    <w:p>
      <w:pPr>
        <w:pStyle w:val="Compact"/>
        <w:numPr>
          <w:ilvl w:val="0"/>
          <w:numId w:val="1004"/>
        </w:numPr>
      </w:pPr>
      <w:r>
        <w:rPr>
          <w:b/>
          <w:bCs/>
        </w:rPr>
        <w:t xml:space="preserve">$5 billion</w:t>
      </w:r>
      <w:r>
        <w:t xml:space="preserve"> </w:t>
      </w:r>
      <w:r>
        <w:t xml:space="preserve">total authorization;</w:t>
      </w:r>
    </w:p>
    <w:p>
      <w:pPr>
        <w:pStyle w:val="Compact"/>
        <w:numPr>
          <w:ilvl w:val="0"/>
          <w:numId w:val="1004"/>
        </w:numPr>
      </w:pPr>
      <w:r>
        <w:t xml:space="preserve">a</w:t>
      </w:r>
      <w:r>
        <w:t xml:space="preserve"> </w:t>
      </w:r>
      <w:r>
        <w:rPr>
          <w:b/>
          <w:bCs/>
        </w:rPr>
        <w:t xml:space="preserve">$2.5 billion accelerated share repurchase</w:t>
      </w:r>
      <w:r>
        <w:t xml:space="preserve"> </w:t>
      </w:r>
      <w:r>
        <w:t xml:space="preserve">program;</w:t>
      </w:r>
    </w:p>
    <w:p>
      <w:pPr>
        <w:pStyle w:val="Compact"/>
        <w:numPr>
          <w:ilvl w:val="0"/>
          <w:numId w:val="1004"/>
        </w:numPr>
      </w:pPr>
      <w:r>
        <w:rPr>
          <w:b/>
          <w:bCs/>
        </w:rPr>
        <w:t xml:space="preserve">$2.8 billion</w:t>
      </w:r>
      <w:r>
        <w:t xml:space="preserve"> </w:t>
      </w:r>
      <w:r>
        <w:t xml:space="preserve">repurchased through Q1; and</w:t>
      </w:r>
    </w:p>
    <w:p>
      <w:pPr>
        <w:pStyle w:val="Compact"/>
        <w:numPr>
          <w:ilvl w:val="0"/>
          <w:numId w:val="1004"/>
        </w:numPr>
      </w:pPr>
      <w:r>
        <w:t xml:space="preserve">management expects the 2026 year-end share count to be down approximately</w:t>
      </w:r>
      <w:r>
        <w:t xml:space="preserve"> </w:t>
      </w:r>
      <w:r>
        <w:rPr>
          <w:b/>
          <w:bCs/>
        </w:rPr>
        <w:t xml:space="preserve">11%–12%</w:t>
      </w:r>
      <w:r>
        <w:t xml:space="preserve"> </w:t>
      </w:r>
      <w:r>
        <w:t xml:space="preserve">from December 2025, with weighted-average diluted shares down roughly</w:t>
      </w:r>
      <w:r>
        <w:t xml:space="preserve"> </w:t>
      </w:r>
      <w:r>
        <w:rPr>
          <w:b/>
          <w:bCs/>
        </w:rPr>
        <w:t xml:space="preserve">8%–9%</w:t>
      </w:r>
      <w:r>
        <w:t xml:space="preserve"> </w:t>
      </w:r>
      <w:r>
        <w:t xml:space="preserve">for the full year.</w:t>
      </w:r>
    </w:p>
    <w:p>
      <w:pPr>
        <w:pStyle w:val="FirstParagraph"/>
      </w:pPr>
      <w:r>
        <w:t xml:space="preserve">This is a substantial EPS tailwind, but it comes alongside higher interest expense following the IPG debt assumption and 2026 refinancing. Management expects net interest expense to rise by roughly</w:t>
      </w:r>
      <w:r>
        <w:t xml:space="preserve"> </w:t>
      </w:r>
      <w:r>
        <w:rPr>
          <w:b/>
          <w:bCs/>
        </w:rPr>
        <w:t xml:space="preserve">$200 million</w:t>
      </w:r>
      <w:r>
        <w:t xml:space="preserve"> </w:t>
      </w:r>
      <w:r>
        <w:t xml:space="preserve">in 2026 versus 2025. Accordingly, investors should look for confirmation that operating leverage and repurchases continue to outweigh the higher financing burden.</w:t>
      </w:r>
    </w:p>
    <w:bookmarkEnd w:id="13"/>
    <w:bookmarkEnd w:id="14"/>
    <w:bookmarkStart w:id="15" w:name="X3114ab0cd2a4339ec93f7b5bba1582d3e243938"/>
    <w:p>
      <w:pPr>
        <w:pStyle w:val="Heading2"/>
      </w:pPr>
      <w:r>
        <w:t xml:space="preserve">The quarter’s key debate: growth platform or financial engineering?</w:t>
      </w:r>
    </w:p>
    <w:p>
      <w:pPr>
        <w:pStyle w:val="FirstParagraph"/>
      </w:pPr>
      <w:r>
        <w:t xml:space="preserve">The bullish case is that Omnicom has created a structurally better agency platform:</w:t>
      </w:r>
    </w:p>
    <w:p>
      <w:pPr>
        <w:pStyle w:val="Compact"/>
        <w:numPr>
          <w:ilvl w:val="0"/>
          <w:numId w:val="1005"/>
        </w:numPr>
      </w:pPr>
      <w:r>
        <w:t xml:space="preserve">Greater media scale and a higher mix of faster-growing Integrated Media;</w:t>
      </w:r>
    </w:p>
    <w:p>
      <w:pPr>
        <w:pStyle w:val="Compact"/>
        <w:numPr>
          <w:ilvl w:val="0"/>
          <w:numId w:val="1005"/>
        </w:numPr>
      </w:pPr>
      <w:r>
        <w:t xml:space="preserve">Acxiom’s identity data integrated with Omnicom’s Omni platform and Flywheel commerce capabilities;</w:t>
      </w:r>
    </w:p>
    <w:p>
      <w:pPr>
        <w:pStyle w:val="Compact"/>
        <w:numPr>
          <w:ilvl w:val="0"/>
          <w:numId w:val="1005"/>
        </w:numPr>
      </w:pPr>
      <w:r>
        <w:t xml:space="preserve">better ability to win larger, multi-disciplinary client assignments;</w:t>
      </w:r>
    </w:p>
    <w:p>
      <w:pPr>
        <w:pStyle w:val="Compact"/>
        <w:numPr>
          <w:ilvl w:val="0"/>
          <w:numId w:val="1005"/>
        </w:numPr>
      </w:pPr>
      <w:r>
        <w:t xml:space="preserve">meaningful cost synergies; and</w:t>
      </w:r>
    </w:p>
    <w:p>
      <w:pPr>
        <w:pStyle w:val="Compact"/>
        <w:numPr>
          <w:ilvl w:val="0"/>
          <w:numId w:val="1005"/>
        </w:numPr>
      </w:pPr>
      <w:r>
        <w:t xml:space="preserve">aggressive share repurchases that accelerate adjusted EPS growth.</w:t>
      </w:r>
    </w:p>
    <w:p>
      <w:pPr>
        <w:pStyle w:val="FirstParagraph"/>
      </w:pPr>
      <w:r>
        <w:t xml:space="preserve">The bear case is that Q1’s margin strength was front-loaded, that legacy creative/advertising weakness persists, and that AI ultimately shifts value away from agency labor faster than Omnicom can monetize data, media buying, and outcome-based services. The current macro backdrop also matters: client marketing budgets can be among the first discretionary spending lines to be delayed when tariffs, energy prices, or geopolitical uncertainty pressure consumer-facing companies.</w:t>
      </w:r>
    </w:p>
    <w:bookmarkEnd w:id="15"/>
    <w:bookmarkStart w:id="16" w:name="what-would-constitute-a-positive-print"/>
    <w:p>
      <w:pPr>
        <w:pStyle w:val="Heading2"/>
      </w:pPr>
      <w:r>
        <w:t xml:space="preserve">What would constitute a positive print?</w:t>
      </w:r>
    </w:p>
    <w:p>
      <w:pPr>
        <w:pStyle w:val="FirstParagraph"/>
      </w:pPr>
      <w:r>
        <w:t xml:space="preserve">A constructive Q2 result would likely include:</w:t>
      </w:r>
    </w:p>
    <w:p>
      <w:pPr>
        <w:pStyle w:val="Compact"/>
        <w:numPr>
          <w:ilvl w:val="0"/>
          <w:numId w:val="1006"/>
        </w:numPr>
      </w:pPr>
      <w:r>
        <w:rPr>
          <w:b/>
          <w:bCs/>
        </w:rPr>
        <w:t xml:space="preserve">Core organic growth at or above ~4%;</w:t>
      </w:r>
    </w:p>
    <w:p>
      <w:pPr>
        <w:pStyle w:val="Compact"/>
        <w:numPr>
          <w:ilvl w:val="0"/>
          <w:numId w:val="1006"/>
        </w:numPr>
      </w:pPr>
      <w:r>
        <w:t xml:space="preserve">continued high-single-digit Integrated Media growth;</w:t>
      </w:r>
    </w:p>
    <w:p>
      <w:pPr>
        <w:pStyle w:val="Compact"/>
        <w:numPr>
          <w:ilvl w:val="0"/>
          <w:numId w:val="1006"/>
        </w:numPr>
      </w:pPr>
      <w:r>
        <w:t xml:space="preserve">stabilization in Advertising;</w:t>
      </w:r>
    </w:p>
    <w:p>
      <w:pPr>
        <w:pStyle w:val="Compact"/>
        <w:numPr>
          <w:ilvl w:val="0"/>
          <w:numId w:val="1006"/>
        </w:numPr>
      </w:pPr>
      <w:r>
        <w:rPr>
          <w:b/>
          <w:bCs/>
        </w:rPr>
        <w:t xml:space="preserve">core adjusted EBITA margin at least consistent with Q1’s 14.8%</w:t>
      </w:r>
      <w:r>
        <w:t xml:space="preserve"> </w:t>
      </w:r>
      <w:r>
        <w:t xml:space="preserve">or a clear explanation of normal seasonality;</w:t>
      </w:r>
    </w:p>
    <w:p>
      <w:pPr>
        <w:pStyle w:val="Compact"/>
        <w:numPr>
          <w:ilvl w:val="0"/>
          <w:numId w:val="1006"/>
        </w:numPr>
      </w:pPr>
      <w:r>
        <w:t xml:space="preserve">reaffirmed 2026 targets for ~4% core constant-currency growth and double-digit adjusted EPS growth;</w:t>
      </w:r>
    </w:p>
    <w:p>
      <w:pPr>
        <w:pStyle w:val="Compact"/>
        <w:numPr>
          <w:ilvl w:val="0"/>
          <w:numId w:val="1006"/>
        </w:numPr>
      </w:pPr>
      <w:r>
        <w:t xml:space="preserve">evidence that the $900 million 2026 synergy target remains on track;</w:t>
      </w:r>
    </w:p>
    <w:p>
      <w:pPr>
        <w:pStyle w:val="Compact"/>
        <w:numPr>
          <w:ilvl w:val="0"/>
          <w:numId w:val="1006"/>
        </w:numPr>
      </w:pPr>
      <w:r>
        <w:t xml:space="preserve">continued reduction in the held-for-sale/disposition revenue base; and</w:t>
      </w:r>
    </w:p>
    <w:p>
      <w:pPr>
        <w:pStyle w:val="Compact"/>
        <w:numPr>
          <w:ilvl w:val="0"/>
          <w:numId w:val="1006"/>
        </w:numPr>
      </w:pPr>
      <w:r>
        <w:t xml:space="preserve">confirmation that share repurchases remain on schedule.</w:t>
      </w:r>
    </w:p>
    <w:bookmarkEnd w:id="16"/>
    <w:bookmarkStart w:id="17" w:name="what-could-disappoint"/>
    <w:p>
      <w:pPr>
        <w:pStyle w:val="Heading2"/>
      </w:pPr>
      <w:r>
        <w:t xml:space="preserve">What could disappoint?</w:t>
      </w:r>
    </w:p>
    <w:p>
      <w:pPr>
        <w:pStyle w:val="FirstParagraph"/>
      </w:pPr>
      <w:r>
        <w:t xml:space="preserve">The principal downside risks into the call are:</w:t>
      </w:r>
    </w:p>
    <w:p>
      <w:pPr>
        <w:pStyle w:val="Compact"/>
        <w:numPr>
          <w:ilvl w:val="0"/>
          <w:numId w:val="1007"/>
        </w:numPr>
      </w:pPr>
      <w:r>
        <w:t xml:space="preserve">Core growth falling below the 4% full-year framework, especially if Integrated Media moderates sharply;</w:t>
      </w:r>
    </w:p>
    <w:p>
      <w:pPr>
        <w:pStyle w:val="Compact"/>
        <w:numPr>
          <w:ilvl w:val="0"/>
          <w:numId w:val="1007"/>
        </w:numPr>
      </w:pPr>
      <w:r>
        <w:t xml:space="preserve">further Advertising declines without offsetting growth elsewhere;</w:t>
      </w:r>
    </w:p>
    <w:p>
      <w:pPr>
        <w:pStyle w:val="Compact"/>
        <w:numPr>
          <w:ilvl w:val="0"/>
          <w:numId w:val="1007"/>
        </w:numPr>
      </w:pPr>
      <w:r>
        <w:t xml:space="preserve">margin dilution from integration, retention costs, or reinvestment that exceeds expectations;</w:t>
      </w:r>
    </w:p>
    <w:p>
      <w:pPr>
        <w:pStyle w:val="Compact"/>
        <w:numPr>
          <w:ilvl w:val="0"/>
          <w:numId w:val="1007"/>
        </w:numPr>
      </w:pPr>
      <w:r>
        <w:t xml:space="preserve">higher-than-expected disposition losses or a slower exit from non-core assets;</w:t>
      </w:r>
    </w:p>
    <w:p>
      <w:pPr>
        <w:pStyle w:val="Compact"/>
        <w:numPr>
          <w:ilvl w:val="0"/>
          <w:numId w:val="1007"/>
        </w:numPr>
      </w:pPr>
      <w:r>
        <w:t xml:space="preserve">signs of client budget delays, weaker retention, or elevated competitive pricing;</w:t>
      </w:r>
    </w:p>
    <w:p>
      <w:pPr>
        <w:pStyle w:val="Compact"/>
        <w:numPr>
          <w:ilvl w:val="0"/>
          <w:numId w:val="1007"/>
        </w:numPr>
      </w:pPr>
      <w:r>
        <w:t xml:space="preserve">a more cautious outlook because of macroeconomic or geopolitical volatility; and</w:t>
      </w:r>
    </w:p>
    <w:p>
      <w:pPr>
        <w:pStyle w:val="Compact"/>
        <w:numPr>
          <w:ilvl w:val="0"/>
          <w:numId w:val="1007"/>
        </w:numPr>
      </w:pPr>
      <w:r>
        <w:t xml:space="preserve">reduced confidence in the pace of repurchases or leverage reduction.</w:t>
      </w:r>
    </w:p>
    <w:bookmarkEnd w:id="17"/>
    <w:bookmarkStart w:id="18" w:name="stock-setup"/>
    <w:p>
      <w:pPr>
        <w:pStyle w:val="Heading2"/>
      </w:pPr>
      <w:r>
        <w:t xml:space="preserve">Stock setup</w:t>
      </w:r>
    </w:p>
    <w:p>
      <w:pPr>
        <w:pStyle w:val="FirstParagraph"/>
      </w:pPr>
      <w:r>
        <w:t xml:space="preserve">OMC closed at</w:t>
      </w:r>
      <w:r>
        <w:t xml:space="preserve"> </w:t>
      </w:r>
      <w:r>
        <w:rPr>
          <w:b/>
          <w:bCs/>
        </w:rPr>
        <w:t xml:space="preserve">$82.43 on July 27</w:t>
      </w:r>
      <w:r>
        <w:t xml:space="preserve">, up roughly</w:t>
      </w:r>
      <w:r>
        <w:t xml:space="preserve"> </w:t>
      </w:r>
      <w:r>
        <w:rPr>
          <w:b/>
          <w:bCs/>
        </w:rPr>
        <w:t xml:space="preserve">1.4% year to date</w:t>
      </w:r>
      <w:r>
        <w:t xml:space="preserve"> </w:t>
      </w:r>
      <w:r>
        <w:t xml:space="preserve">and about</w:t>
      </w:r>
      <w:r>
        <w:t xml:space="preserve"> </w:t>
      </w:r>
      <w:r>
        <w:rPr>
          <w:b/>
          <w:bCs/>
        </w:rPr>
        <w:t xml:space="preserve">7.2% above its April 28 close following the Q1 release</w:t>
      </w:r>
      <w:r>
        <w:t xml:space="preserve">. The stock has recovered meaningfully from its June lows, suggesting the market is giving management some credit for the integration and capital-return plan—but likely still needs confirmation on underlying growth and synergy execution.</w:t>
      </w:r>
    </w:p>
    <w:bookmarkEnd w:id="18"/>
    <w:bookmarkStart w:id="20" w:name="bottom-line"/>
    <w:p>
      <w:pPr>
        <w:pStyle w:val="Heading2"/>
      </w:pPr>
      <w:r>
        <w:t xml:space="preserve">Bottom line</w:t>
      </w:r>
    </w:p>
    <w:p>
      <w:pPr>
        <w:pStyle w:val="FirstParagraph"/>
      </w:pPr>
      <w:r>
        <w:rPr>
          <w:b/>
          <w:bCs/>
        </w:rPr>
        <w:t xml:space="preserve">This is a prove-it quarter for the “new Omnicom.”</w:t>
      </w:r>
      <w:r>
        <w:t xml:space="preserve"> </w:t>
      </w:r>
      <w:r>
        <w:t xml:space="preserve">Q1 established a favorable starting point: 3.9% core organic growth, strong media momentum, margin expansion, and rapid buyback execution. Q2 needs to show that those outcomes are repeatable—not merely a first-quarter benefit from early synergy actions and favorable comparables.</w:t>
      </w:r>
    </w:p>
    <w:p>
      <w:pPr>
        <w:pStyle w:val="BodyText"/>
      </w:pPr>
      <w:r>
        <w:t xml:space="preserve">For investors, the hierarchy of importance should be:</w:t>
      </w:r>
    </w:p>
    <w:p>
      <w:pPr>
        <w:pStyle w:val="Compact"/>
        <w:numPr>
          <w:ilvl w:val="0"/>
          <w:numId w:val="1008"/>
        </w:numPr>
      </w:pPr>
      <w:r>
        <w:rPr>
          <w:b/>
          <w:bCs/>
        </w:rPr>
        <w:t xml:space="preserve">Core organic growth versus ~4% target</w:t>
      </w:r>
    </w:p>
    <w:p>
      <w:pPr>
        <w:pStyle w:val="Compact"/>
        <w:numPr>
          <w:ilvl w:val="0"/>
          <w:numId w:val="1008"/>
        </w:numPr>
      </w:pPr>
      <w:r>
        <w:rPr>
          <w:b/>
          <w:bCs/>
        </w:rPr>
        <w:t xml:space="preserve">Core adjusted EBITA margin and synergy conversion</w:t>
      </w:r>
    </w:p>
    <w:p>
      <w:pPr>
        <w:pStyle w:val="Compact"/>
        <w:numPr>
          <w:ilvl w:val="0"/>
          <w:numId w:val="1008"/>
        </w:numPr>
      </w:pPr>
      <w:r>
        <w:rPr>
          <w:b/>
          <w:bCs/>
        </w:rPr>
        <w:t xml:space="preserve">Guidance durability</w:t>
      </w:r>
    </w:p>
    <w:p>
      <w:pPr>
        <w:pStyle w:val="Compact"/>
        <w:numPr>
          <w:ilvl w:val="0"/>
          <w:numId w:val="1008"/>
        </w:numPr>
      </w:pPr>
      <w:r>
        <w:rPr>
          <w:b/>
          <w:bCs/>
        </w:rPr>
        <w:t xml:space="preserve">Advertising and international trend improvement</w:t>
      </w:r>
    </w:p>
    <w:p>
      <w:pPr>
        <w:pStyle w:val="Compact"/>
        <w:numPr>
          <w:ilvl w:val="0"/>
          <w:numId w:val="1008"/>
        </w:numPr>
      </w:pPr>
      <w:r>
        <w:rPr>
          <w:b/>
          <w:bCs/>
        </w:rPr>
        <w:t xml:space="preserve">Disposition progress and buyback execution</w:t>
      </w:r>
    </w:p>
    <w:bookmarkStart w:id="19" w:name="primary-materials-reviewed"/>
    <w:p>
      <w:pPr>
        <w:pStyle w:val="Heading3"/>
      </w:pPr>
      <w:r>
        <w:t xml:space="preserve">Primary materials reviewed</w:t>
      </w:r>
    </w:p>
    <w:p>
      <w:pPr>
        <w:pStyle w:val="Compact"/>
        <w:numPr>
          <w:ilvl w:val="0"/>
          <w:numId w:val="1009"/>
        </w:numPr>
      </w:pPr>
      <w:r>
        <w:t xml:space="preserve">Omnicom 1Q26 earnings release and earnings-call transcript, April 28, 2026</w:t>
      </w:r>
    </w:p>
    <w:p>
      <w:pPr>
        <w:pStyle w:val="Compact"/>
        <w:numPr>
          <w:ilvl w:val="0"/>
          <w:numId w:val="1009"/>
        </w:numPr>
      </w:pPr>
      <w:r>
        <w:t xml:space="preserve">Omnicom 1Q26 Form 10-Q, filed April 28, 2026</w:t>
      </w:r>
    </w:p>
    <w:p>
      <w:pPr>
        <w:pStyle w:val="Compact"/>
        <w:numPr>
          <w:ilvl w:val="0"/>
          <w:numId w:val="1009"/>
        </w:numPr>
      </w:pPr>
      <w:r>
        <w:t xml:space="preserve">Omnicom Investor Day transcript, March 12, 2026</w:t>
      </w:r>
    </w:p>
    <w:p>
      <w:pPr>
        <w:pStyle w:val="Compact"/>
        <w:numPr>
          <w:ilvl w:val="0"/>
          <w:numId w:val="1009"/>
        </w:numPr>
      </w:pPr>
      <w:r>
        <w:t xml:space="preserve">Omnicom 2Q26 earnings-release/call schedule, July 7,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2026-07-28T01:11:27Z</dcterms:created>
  <dcterms:modified xsi:type="dcterms:W3CDTF">2026-07-28T01:11:27Z</dcterms:modified>
</cp:coreProperties>
</file>

<file path=docProps/custom.xml><?xml version="1.0" encoding="utf-8"?>
<Properties xmlns="http://schemas.openxmlformats.org/officeDocument/2006/custom-properties" xmlns:vt="http://schemas.openxmlformats.org/officeDocument/2006/docPropsVTypes"/>
</file>