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Omnicom Group (OMC) — Q2 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OMC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Earnings Date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July 28, 2026 (After Market Close)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Q2 2026 (2QFY-2026)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Last Earnings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April 28, 2026 (Q1 2026)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Sector ETF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S&amp;P 500 (SPY)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Prepared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July 27, 2026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Setup is modestly constructive — consensus sits at a </w:t>
      </w:r>
      <w:r>
        <w:rPr>
          <w:rFonts w:ascii="Calibri" w:hAnsi="Calibri"/>
          <w:b/>
          <w:color w:val="525866"/>
          <w:sz w:val="22"/>
        </w:rPr>
        <w:t>beatable bar</w:t>
      </w:r>
      <w:r>
        <w:rPr>
          <w:rFonts w:ascii="Calibri" w:hAnsi="Calibri"/>
          <w:color w:val="525866"/>
          <w:sz w:val="22"/>
        </w:rPr>
        <w:t xml:space="preserve"> on organic growth (~3.6% vs. management's full-year 4% target) and EPS (~$2.61), with the biggest swing factor being the pace of </w:t>
      </w:r>
      <w:r>
        <w:rPr>
          <w:rFonts w:ascii="Calibri" w:hAnsi="Calibri"/>
          <w:b/>
          <w:color w:val="525866"/>
          <w:sz w:val="22"/>
        </w:rPr>
        <w:t>IPG synergy flow-through</w:t>
      </w:r>
      <w:r>
        <w:rPr>
          <w:rFonts w:ascii="Calibri" w:hAnsi="Calibri"/>
          <w:color w:val="525866"/>
          <w:sz w:val="22"/>
        </w:rPr>
        <w:t xml:space="preserve"> and whether portfolio dispositions are tracking ahead of schedule.</w:t>
      </w:r>
    </w:p>
    <w:p>
      <w:r>
        <w:rPr>
          <w:rFonts w:ascii="Calibri" w:hAnsi="Calibri"/>
          <w:color w:val="525866"/>
          <w:sz w:val="22"/>
        </w:rPr>
        <w:t xml:space="preserve">Heading into Q2 2026, the bar for Omnicom looks achievable but not easy. Consensus organic revenue growth of ~3.6% sits modestly below management's full-year 4% constant-currency target, implying the Street is not fully pricing in an acceleration from Q1's 3.9% print — a slight cushion if integrated media continues its high-single-digit trajectory. </w:t>
      </w:r>
      <w:r>
        <w:rPr>
          <w:rFonts w:ascii="Calibri" w:hAnsi="Calibri"/>
          <w:b/>
          <w:color w:val="525866"/>
          <w:sz w:val="22"/>
        </w:rPr>
        <w:t>Management's tone on the Q1 call was notably confident</w:t>
      </w:r>
      <w:r>
        <w:rPr>
          <w:rFonts w:ascii="Calibri" w:hAnsi="Calibri"/>
          <w:color w:val="525866"/>
          <w:sz w:val="22"/>
        </w:rPr>
        <w:t xml:space="preserve">: Wren upgraded EPS language from generic "double digit" to "higher double digits than Q1" for remaining quarters, and the $900M synergy target for 2026 was reaffirmed with three-quarters to four-fifths expected to flow through to EBIT. Estimate revisions have been broadly stable since the Q1 print, with operating EPS consensus at ~$2.61 vs. the $2.63 baseline set five days post-Q1 — a negligible drift that suggests the Street is in a wait-and-see mode rather than building in upside. The stock has rallied ~7% since last earnings (vs. SPY +4%), trading at a low-double-digit P/E that still represents a meaningful discount to historical averages and to Publicis, leaving room for multiple re-rating if execution continues. The key wildcard is the </w:t>
      </w:r>
      <w:r>
        <w:rPr>
          <w:rFonts w:ascii="Calibri" w:hAnsi="Calibri"/>
          <w:b/>
          <w:color w:val="525866"/>
          <w:sz w:val="22"/>
        </w:rPr>
        <w:t>Publicis/LiveRamp competitive dynamic</w:t>
      </w:r>
      <w:r>
        <w:rPr>
          <w:rFonts w:ascii="Calibri" w:hAnsi="Calibri"/>
          <w:color w:val="525866"/>
          <w:sz w:val="22"/>
        </w:rPr>
        <w:t>: Publicis just reported Q2 with +4.8% organic growth and raised full-year guidance to 4.5–5%, directly challenging OMC's positioning — any commentary on client retention or new business momentum in the context of this competitive shift will be closely watched.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sets a </w:t>
      </w:r>
      <w:r>
        <w:rPr>
          <w:rFonts w:ascii="Calibri" w:hAnsi="Calibri"/>
          <w:b/>
          <w:color w:val="525866"/>
          <w:sz w:val="22"/>
        </w:rPr>
        <w:t>modestly beatable bar</w:t>
      </w:r>
      <w:r>
        <w:rPr>
          <w:rFonts w:ascii="Calibri" w:hAnsi="Calibri"/>
          <w:color w:val="525866"/>
          <w:sz w:val="22"/>
        </w:rPr>
        <w:t xml:space="preserve"> on organic growth (~3.6% vs. 4% guidance) and operating EPS (~$2.61 vs. Q1's $1.90 beat). </w:t>
      </w:r>
      <w:r>
        <w:rPr>
          <w:rFonts w:ascii="Calibri" w:hAnsi="Calibri"/>
          <w:b/>
          <w:color w:val="525866"/>
          <w:sz w:val="22"/>
        </w:rPr>
        <w:t>Integrated Media revenue</w:t>
      </w:r>
      <w:r>
        <w:rPr>
          <w:rFonts w:ascii="Calibri" w:hAnsi="Calibri"/>
          <w:color w:val="525866"/>
          <w:sz w:val="22"/>
        </w:rPr>
        <w:t xml:space="preserve"> is the bigger swing factor — if it sustains high-single-digit growth, total organic growth likely clears consensus; if it decelerates, the miss risk is real.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Q2 2026 Current Quarter Snapshot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 (Prior Year)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Total Revenue (Core Ops)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$6.24B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$5.79B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$6.07B ¹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+4.8%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~4% organic (FY)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Total Revenue (Reported)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$6.24B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$4.02B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$6.44B ¹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+60% YoY (IPG consolidation)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(IPG distorts)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Organic Revenue Growth YoY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3.9% (core)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3.0%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3.6% ¹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+60 bps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~4% FY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-40 bps below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Diluted EPS — Operating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$1.90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$2.05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$2.61 ¹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+27%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"Higher double digits" vs. Q1 (+11.8%)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 above guidance floor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EBITDA — Operating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$862M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$602M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$1,212M ¹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+101% YoY (IPG consolidation)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Margin expansion vs. combined basis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(no explicit $ guidance)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Integrated Media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$2.98B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— new segment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$3.18B ¹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(new segment)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High single-digit growth (Q1 commentary)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~+7% implied vs. Q1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Precision Marketing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$548M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$457M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$581M ¹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+27%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(no explicit guidance)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b/>
                <w:sz w:val="22"/>
              </w:rPr>
              <w:t>Advertising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$1.06B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— new segment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$1.03B ¹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(new segment)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Declining (Q1 commentary)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 with guidance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¹ </w:t>
      </w:r>
      <w:r>
        <w:rPr>
          <w:rFonts w:ascii="Calibri" w:hAnsi="Calibri"/>
          <w:color w:val="525866"/>
          <w:sz w:val="22"/>
        </w:rPr>
        <w:t>Source: Visible Alpha Consensus and Actuals Data. Core revenue consensus $6.07B; reported revenue consensus $6.44B; organic growth consensus 3.6%; operating EPS consensus $2.61; operating EBITDA consensus $1,212M; Integrated Media consensus $3.18B; Precision Marketing consensus $581M; Advertising consensus $1.03B. All as of July 27,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Quarters, Top 2 KPIs)</w:t>
      </w:r>
    </w:p>
    <w:p>
      <w:r>
        <w:rPr>
          <w:rFonts w:ascii="Calibri" w:hAnsi="Calibri"/>
          <w:b/>
          <w:color w:val="525866"/>
          <w:sz w:val="22"/>
        </w:rPr>
        <w:t xml:space="preserve">Top 2 KPIs: </w:t>
      </w:r>
      <w:r>
        <w:rPr>
          <w:rFonts w:ascii="Calibri" w:hAnsi="Calibri"/>
          <w:color w:val="525866"/>
          <w:sz w:val="22"/>
        </w:rPr>
        <w:t>Organic Revenue Growth (%) and Diluted EPS — Operating ($)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Organic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3.9%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2.7%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+120 bps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$1.90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$1.77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+7.3%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Organic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2.9%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3.0%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-10 bps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$2.59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$2.66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-2.6%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Organic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2.6%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2.7%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-10 bps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In Line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$2.14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+4.7%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Organic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2.8%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+20 bps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$2.05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$1.99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Organic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3.7%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-30 bps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$1.70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$1.64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+3.7%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Organic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5.2%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4.7%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+50 bps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$2.41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$2.37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+1.7%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Organic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5.2%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+130 bps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$2.03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$2.00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Organic Growth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5.2%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4.4%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+80 bps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$1.95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$1.92 ¹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+1.6%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¹ </w:t>
      </w:r>
      <w:r>
        <w:rPr>
          <w:rFonts w:ascii="Calibri" w:hAnsi="Calibri"/>
          <w:color w:val="525866"/>
          <w:sz w:val="22"/>
        </w:rPr>
        <w:t>Source: Visible Alpha Consensus and Actuals Data. Consensus figures represent latest available consensus at time of reporting for each respective quarter.</w:t>
      </w:r>
    </w:p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OMC has beaten operating EPS consensus in 7 of the last 8 quarters, with the lone miss in Q4 2025 driven by IPG integration costs; organic growth beats have been more mixed (5 beats, 3 misses/in-line), with the Street consistently underestimating growth in stronger macro environments.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Management's posture has </w:t>
      </w:r>
      <w:r>
        <w:rPr>
          <w:rFonts w:ascii="Calibri" w:hAnsi="Calibri"/>
          <w:b/>
          <w:color w:val="525866"/>
          <w:sz w:val="22"/>
        </w:rPr>
        <w:t>shifted more confident since Q1 earnings</w:t>
      </w:r>
      <w:r>
        <w:rPr>
          <w:rFonts w:ascii="Calibri" w:hAnsi="Calibri"/>
          <w:color w:val="525866"/>
          <w:sz w:val="22"/>
        </w:rPr>
        <w:t xml:space="preserve"> — EPS language was upgraded from "double digit" to "higher double digits than Q1" for remaining quarters, and the $900M synergy target was reaffirmed. The only notable post-earnings development is the </w:t>
      </w:r>
      <w:r>
        <w:rPr>
          <w:rFonts w:ascii="Calibri" w:hAnsi="Calibri"/>
          <w:b/>
          <w:color w:val="525866"/>
          <w:sz w:val="22"/>
        </w:rPr>
        <w:t>Publicis/LiveRamp announcement (May 17)</w:t>
      </w:r>
      <w:r>
        <w:rPr>
          <w:rFonts w:ascii="Calibri" w:hAnsi="Calibri"/>
          <w:color w:val="525866"/>
          <w:sz w:val="22"/>
        </w:rPr>
        <w:t xml:space="preserve"> which prompted Wren to accelerate the LiveRamp separation timeline by ~1 year, signaling competitive urgency around identity infrastructure.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Call, Apr 28)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Organic Revenue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~4% constant currency (core operations)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3.7% ¹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consensus slightly below guidance midpoint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Operating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"Double digit" YoY; remaining quarters "higher double digits than Q1" (+11.8%)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$10.77 ¹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Upgraded language on Q1 call; implies &gt;12% YoY growth for Q2-Q4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2026 Cost Synergies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$900M in 2026; $1.5B by mid-2028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Reaffirmed; ~75-80% expected to flow through to EBIT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Share Count Decline (FY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11-12% decline vs. Dec 31, 2025 (313.4M shares); wtd avg -8-9%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Reaffirmed; $2.8B repurchased through Q1 via ASR + open market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FX Impact (FY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~+1% tailwind to reported revenue (assuming rates hold)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USD weakness since Q1 could provide incremental tailwind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Tax Rate (FY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26% (vs. 26.7% in 2025)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LiveRamp Separation Timeline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Planned independence by ~2028 (prior guidance)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Accelerated to ~1 year from May 2026 conference (~mid-2027)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Accelerated post-Publicis/LiveRamp acquisition announcement (May 17, 2026); Acxiom Real ID positioned as replacement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¹ </w:t>
      </w:r>
      <w:r>
        <w:rPr>
          <w:rFonts w:ascii="Calibri" w:hAnsi="Calibri"/>
          <w:color w:val="525866"/>
          <w:sz w:val="22"/>
        </w:rPr>
        <w:t>Source: Visible Alpha Consensus and Actuals Data. FY 2026 organic growth consensus 3.7%; FY 2026 operating EPS consensus $10.77. As of July 27, 2026.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Estimates have been </w:t>
      </w:r>
      <w:r>
        <w:rPr>
          <w:rFonts w:ascii="Calibri" w:hAnsi="Calibri"/>
          <w:b/>
          <w:color w:val="525866"/>
          <w:sz w:val="22"/>
        </w:rPr>
        <w:t>broadly stable to slightly lower</w:t>
      </w:r>
      <w:r>
        <w:rPr>
          <w:rFonts w:ascii="Calibri" w:hAnsi="Calibri"/>
          <w:color w:val="525866"/>
          <w:sz w:val="22"/>
        </w:rPr>
        <w:t xml:space="preserve"> since the Q1 print — Q2 organic growth consensus drifted down ~13 bps from the post-Q1 baseline while FY EPS slipped ~$0.05, suggesting the Street is not building in upside from synergy acceleration. The gap between consensus organic growth (~3.6% Q2, ~3.7% FY) and management's 4% target represents </w:t>
      </w:r>
      <w:r>
        <w:rPr>
          <w:rFonts w:ascii="Calibri" w:hAnsi="Calibri"/>
          <w:b/>
          <w:color w:val="525866"/>
          <w:sz w:val="22"/>
        </w:rPr>
        <w:t>potential cushion</w:t>
      </w:r>
      <w:r>
        <w:rPr>
          <w:rFonts w:ascii="Calibri" w:hAnsi="Calibri"/>
          <w:color w:val="525866"/>
          <w:sz w:val="22"/>
        </w:rPr>
        <w:t xml:space="preserve"> if integrated media sustains momentum.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(May 5, 2026 — ~5 Days Post Q1)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Delta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Delta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Organic Growth %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3.50%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3.63%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+13 bps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~4% FY (no Q2-specific)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-37 bps below FY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Op. EPS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$2.63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$2.61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-0.8%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"Higher double digits" vs. Q1 (+11.8%)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+27% YoY; tracking above guidance floor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Op. EBITDA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$1,195M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$1,212M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+1.4%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Margin expansion vs. combined basis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Tracking with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Organic Growth %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4.08%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3.73%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-35 bps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~4% constant currency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-27 bps below guidance; modest downward drift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Op. EPS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$10.83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$10.77 ¹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"Double digit" YoY growth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Tracking above guidance floor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¹ </w:t>
      </w:r>
      <w:r>
        <w:rPr>
          <w:rFonts w:ascii="Calibri" w:hAnsi="Calibri"/>
          <w:color w:val="525866"/>
          <w:sz w:val="22"/>
        </w:rPr>
        <w:t>Source: Visible Alpha Consensus and Actuals Data. Post-Q1 baseline (as of May 5, 2026) and current consensus (as of July 27, 2026). FY organic growth consensus drifted down 35 bps since the Q1 print, while FY EPS slipped ~$0.06 — a modest downward drift consistent with macro uncertainty rather than a fundamental re-rating.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OMC has </w:t>
      </w:r>
      <w:r>
        <w:rPr>
          <w:rFonts w:ascii="Calibri" w:hAnsi="Calibri"/>
          <w:b/>
          <w:color w:val="525866"/>
          <w:sz w:val="22"/>
        </w:rPr>
        <w:t>underperformed SPY since Q1 earnings</w:t>
      </w:r>
      <w:r>
        <w:rPr>
          <w:rFonts w:ascii="Calibri" w:hAnsi="Calibri"/>
          <w:color w:val="525866"/>
          <w:sz w:val="22"/>
        </w:rPr>
        <w:t xml:space="preserve"> (+7.2% vs. +3.8% for SPY through July 28), with the stock's recovery driven primarily by </w:t>
      </w:r>
      <w:r>
        <w:rPr>
          <w:rFonts w:ascii="Calibri" w:hAnsi="Calibri"/>
          <w:b/>
          <w:color w:val="525866"/>
          <w:sz w:val="22"/>
        </w:rPr>
        <w:t>synergy confidence and buyback execution</w:t>
      </w:r>
      <w:r>
        <w:rPr>
          <w:rFonts w:ascii="Calibri" w:hAnsi="Calibri"/>
          <w:color w:val="525866"/>
          <w:sz w:val="22"/>
        </w:rPr>
        <w:t xml:space="preserve"> rather than multiple expansion — the stock still trades at a meaningful discount to historical P/E and to Publicis, suggesting the market has not yet fully priced in integration upside.</w:t>
      </w:r>
    </w:p>
    <w:p>
      <w:r>
        <w:drawing>
          <wp:inline xmlns:a="http://schemas.openxmlformats.org/drawingml/2006/main" xmlns:pic="http://schemas.openxmlformats.org/drawingml/2006/picture">
            <wp:extent cx="5943600" cy="4245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OMC vs. S&amp;P 500 (SPY) — Indexed to 100 at Q1 2026 Earnings (April 28, 2026). Source: Stock Price Data.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 28, 2026 (Base = 100): </w:t>
      </w:r>
      <w:r>
        <w:rPr>
          <w:rFonts w:ascii="Calibri" w:hAnsi="Calibri"/>
          <w:color w:val="525866"/>
          <w:sz w:val="22"/>
        </w:rPr>
        <w:t>OMC closed at $76.88 on Q1 earnings day; stock initially dipped after-hours but recovered.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13–15, 2026 (JPM TMT Conference): </w:t>
      </w:r>
      <w:r>
        <w:rPr>
          <w:rFonts w:ascii="Calibri" w:hAnsi="Calibri"/>
          <w:color w:val="525866"/>
          <w:sz w:val="22"/>
        </w:rPr>
        <w:t>OMC presented at J.P. Morgan Global Technology, Media &amp; Communications Conference; stock declined from ~$77 to ~$71 over the following week, likely reflecting broader sector rotation and macro concerns rather than company-specific news.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17, 2026 (Publicis/LiveRamp Announcement): </w:t>
      </w:r>
      <w:r>
        <w:rPr>
          <w:rFonts w:ascii="Calibri" w:hAnsi="Calibri"/>
          <w:color w:val="525866"/>
          <w:sz w:val="22"/>
        </w:rPr>
        <w:t>Publicis announced acquisition of LiveRamp, a former Acxiom sister company. OMC stock was already under pressure; Wren subsequently accelerated the planned LiveRamp separation timeline to ~1 year.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1–July 16, 2026 (Recovery Rally): </w:t>
      </w:r>
      <w:r>
        <w:rPr>
          <w:rFonts w:ascii="Calibri" w:hAnsi="Calibri"/>
          <w:color w:val="525866"/>
          <w:sz w:val="22"/>
        </w:rPr>
        <w:t>OMC rallied from ~$73 to $84 (+15%), outperforming SPY, likely driven by Publicis's strong Q2 print (July 16, +4.8% organic growth, guidance raised) providing positive read-through for the sector.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28, 2026 (Pre-Earnings): </w:t>
      </w:r>
      <w:r>
        <w:rPr>
          <w:rFonts w:ascii="Calibri" w:hAnsi="Calibri"/>
          <w:color w:val="525866"/>
          <w:sz w:val="22"/>
        </w:rPr>
        <w:t>OMC at $82.41 (+7.2% since Q1 earnings); SPY +3.8% over same period. Post-market indicated at ~$83.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Peer Commentaries — Read-Through (Last 60 Days, Q2 2026 Relevant)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Peer read-throughs are </w:t>
      </w:r>
      <w:r>
        <w:rPr>
          <w:rFonts w:ascii="Calibri" w:hAnsi="Calibri"/>
          <w:b/>
          <w:color w:val="525866"/>
          <w:sz w:val="22"/>
        </w:rPr>
        <w:t>net positive for OMC's Q2</w:t>
      </w:r>
      <w:r>
        <w:rPr>
          <w:rFonts w:ascii="Calibri" w:hAnsi="Calibri"/>
          <w:color w:val="525866"/>
          <w:sz w:val="22"/>
        </w:rPr>
        <w:t xml:space="preserve">: Publicis delivered a strong Q2 beat and raised guidance, Google's ad revenue grew +14% with strength across all verticals, and Meta's ad impressions grew +19% — all pointing to a healthy advertising market. The key risk flag is </w:t>
      </w:r>
      <w:r>
        <w:rPr>
          <w:rFonts w:ascii="Calibri" w:hAnsi="Calibri"/>
          <w:b/>
          <w:color w:val="525866"/>
          <w:sz w:val="22"/>
        </w:rPr>
        <w:t>IT/consulting softness</w:t>
      </w:r>
      <w:r>
        <w:rPr>
          <w:rFonts w:ascii="Calibri" w:hAnsi="Calibri"/>
          <w:color w:val="525866"/>
          <w:sz w:val="22"/>
        </w:rPr>
        <w:t xml:space="preserve"> (Publicis Sapient mid-single-digit decline, WPP's ongoing account losses) which could weigh on OMC's Precision Marketing segment.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Publicis Groupe (PUB FP) — Q2 2026 Earnings (Reported July 16,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b/>
          <w:color w:val="30A46C"/>
          <w:sz w:val="22"/>
        </w:rPr>
        <w:t>STRONG POSITIVE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Q2 organic growth of +4.8%</w:t>
      </w:r>
      <w:r>
        <w:rPr>
          <w:rFonts w:ascii="Calibri" w:hAnsi="Calibri"/>
          <w:color w:val="525866"/>
          <w:sz w:val="22"/>
        </w:rPr>
        <w:t xml:space="preserve"> (net revenue basis), accelerating from Q1's +4.5% despite a 100 bps tougher comparable base — directly positive for OMC's ~3.6% consensus bar.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Connected media (62% of net revenue) delivered high single-digit growth</w:t>
      </w:r>
      <w:r>
        <w:rPr>
          <w:rFonts w:ascii="Calibri" w:hAnsi="Calibri"/>
          <w:color w:val="525866"/>
          <w:sz w:val="22"/>
        </w:rPr>
        <w:t>, accelerating vs. Q1, with double-digit growth in Europe and high single-digit in the US — strong read-through for OMC's Integrated Media segment.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Guidance raised to 4.5-5% organic growth</w:t>
      </w:r>
      <w:r>
        <w:rPr>
          <w:rFonts w:ascii="Calibri" w:hAnsi="Calibri"/>
          <w:color w:val="525866"/>
          <w:sz w:val="22"/>
        </w:rPr>
        <w:t xml:space="preserve"> (from 4-5%), with operating margin confirmed slightly above 18.2% — signals the ad market is holding up better than feared.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Publicis Sapient (IT consulting, 13% of revenue) declined mid-single digits</w:t>
      </w:r>
      <w:r>
        <w:rPr>
          <w:rFonts w:ascii="Calibri" w:hAnsi="Calibri"/>
          <w:color w:val="525866"/>
          <w:sz w:val="22"/>
        </w:rPr>
        <w:t xml:space="preserve"> due to clients delaying large discretionary CapEx amid geopolitical uncertainty — negative read-through for OMC's Precision Marketing/consulting businesses (Credera).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Competitive landscape reduced from 4 to 3 global players</w:t>
      </w:r>
      <w:r>
        <w:rPr>
          <w:rFonts w:ascii="Calibri" w:hAnsi="Calibri"/>
          <w:color w:val="525866"/>
          <w:sz w:val="22"/>
        </w:rPr>
        <w:t xml:space="preserve"> for large accounts (&gt;EUR 800M spend); Publicis noted some competitors "distracted recently" — a pointed reference to OMC's integration, though OMC's new business wins (IBM, GSK, John Deere) suggest it is competing effectively.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Middle East conflict estimated -30 bps impact on Q2 organic growth</w:t>
      </w:r>
      <w:r>
        <w:rPr>
          <w:rFonts w:ascii="Calibri" w:hAnsi="Calibri"/>
          <w:color w:val="525866"/>
          <w:sz w:val="22"/>
        </w:rPr>
        <w:t>; EMEA down -8.3% — OMC has &lt;2.5% Middle East revenue exposure, so limited direct impact.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AI as structural tailwind:</w:t>
      </w:r>
      <w:r>
        <w:rPr>
          <w:rFonts w:ascii="Calibri" w:hAnsi="Calibri"/>
          <w:color w:val="525866"/>
          <w:sz w:val="22"/>
        </w:rPr>
        <w:t xml:space="preserve"> Publicis cited AI driving ~20% cumulative growth since Gen AI emergence 3 years ago, growing 4x faster than peers on average — validates OMC's Omni platform investment thesis.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WPP (WPP LN) — Q1 2026 Sales &amp; Revenue Call (Reported April 28,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b/>
          <w:color w:val="E5484D"/>
          <w:sz w:val="22"/>
        </w:rPr>
        <w:t>MIXED / NEGATIVE (WPP-specific; market conditions broadly stable)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WPP Q1 like-for-like revenue less pass-through costs fell -6.7%</w:t>
      </w:r>
      <w:r>
        <w:rPr>
          <w:rFonts w:ascii="Calibri" w:hAnsi="Calibri"/>
          <w:color w:val="525866"/>
          <w:sz w:val="22"/>
        </w:rPr>
        <w:t xml:space="preserve"> (organic revenue -4%) — but this is largely WPP-specific account loss drag (500-600 bps gross account losses expected for full year), not a market-wide signal.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WPP expects Q2 trends to be "broadly similar" to Q1</w:t>
      </w:r>
      <w:r>
        <w:rPr>
          <w:rFonts w:ascii="Calibri" w:hAnsi="Calibri"/>
          <w:color w:val="525866"/>
          <w:sz w:val="22"/>
        </w:rPr>
        <w:t xml:space="preserve"> (mid-to-high single digit LFL decline) — negative for WPP but not a read-through for OMC given different competitive dynamics.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Client spending polarization continues:</w:t>
      </w:r>
      <w:r>
        <w:rPr>
          <w:rFonts w:ascii="Calibri" w:hAnsi="Calibri"/>
          <w:color w:val="525866"/>
          <w:sz w:val="22"/>
        </w:rPr>
        <w:t xml:space="preserve"> some clients increasing spend, others more cautious, particularly in tech and healthcare — consistent with OMC's Q1 commentary on stable budgets.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WPP ranked #1 in net new business (JPMorgan, Q1)</w:t>
      </w:r>
      <w:r>
        <w:rPr>
          <w:rFonts w:ascii="Calibri" w:hAnsi="Calibri"/>
          <w:color w:val="525866"/>
          <w:sz w:val="22"/>
        </w:rPr>
        <w:t xml:space="preserve"> for second consecutive quarter, with wins including Estee Lauder, SC Johnson, JLR — suggests the pitch market is active, which is positive for OMC's proactive new business push.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Performance-related spend ~20-25% of net sales</w:t>
      </w:r>
      <w:r>
        <w:rPr>
          <w:rFonts w:ascii="Calibri" w:hAnsi="Calibri"/>
          <w:color w:val="525866"/>
          <w:sz w:val="22"/>
        </w:rPr>
        <w:t>, with evolution toward output-based pricing — consistent with OMC's commentary on client consolidation and integrated service models.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Alphabet / Google (GOOGL) — Q2 2026 Earnings (Reported July 22,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b/>
          <w:color w:val="30A46C"/>
          <w:sz w:val="22"/>
        </w:rPr>
        <w:t>POSITIVE for ad market; neutral for agencies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Total Google advertising revenues +14% YoY</w:t>
      </w:r>
      <w:r>
        <w:rPr>
          <w:rFonts w:ascii="Calibri" w:hAnsi="Calibri"/>
          <w:color w:val="525866"/>
          <w:sz w:val="22"/>
        </w:rPr>
        <w:t xml:space="preserve"> with growth across all major verticals — strongest signal that the digital ad market is healthy heading into OMC's Q2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Google Search +17% YoY ($63B+)</w:t>
      </w:r>
      <w:r>
        <w:rPr>
          <w:rFonts w:ascii="Calibri" w:hAnsi="Calibri"/>
          <w:color w:val="525866"/>
          <w:sz w:val="22"/>
        </w:rPr>
        <w:t>, driven by retail and finance — positive for OMC's media clients in these verticals.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YouTube advertising +13% YoY ($11.1B)</w:t>
      </w:r>
      <w:r>
        <w:rPr>
          <w:rFonts w:ascii="Calibri" w:hAnsi="Calibri"/>
          <w:color w:val="525866"/>
          <w:sz w:val="22"/>
        </w:rPr>
        <w:t>, boosted by FIFA World Cup 2026 (most viewed in YouTube history, 1.7B unique viewers) — World Cup is a Q2 2026 event that likely benefited OMC's media clients' ad spend.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Network advertising revenues -1% YoY</w:t>
      </w:r>
      <w:r>
        <w:rPr>
          <w:rFonts w:ascii="Calibri" w:hAnsi="Calibri"/>
          <w:color w:val="525866"/>
          <w:sz w:val="22"/>
        </w:rPr>
        <w:t xml:space="preserve"> — slight negative for programmatic/open internet, but a small portion of OMC's revenue mix.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AI-powered ad tools driving 15% more conversions</w:t>
      </w:r>
      <w:r>
        <w:rPr>
          <w:rFonts w:ascii="Calibri" w:hAnsi="Calibri"/>
          <w:color w:val="525866"/>
          <w:sz w:val="22"/>
        </w:rPr>
        <w:t xml:space="preserve"> for advertisers using PMax; 500K+ advertisers adopted — validates AI-driven media buying as a growth driver, consistent with OMC's agentic media buying narrative.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Google raised FY 2026 CapEx guidance to $195-205B</w:t>
      </w:r>
      <w:r>
        <w:rPr>
          <w:rFonts w:ascii="Calibri" w:hAnsi="Calibri"/>
          <w:color w:val="525866"/>
          <w:sz w:val="22"/>
        </w:rPr>
        <w:t xml:space="preserve"> (from $180-190B) — signals continued AI infrastructure investment, which could benefit OMC's tech-adjacent clients and data partnerships (Amazon API, Acxiom).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Meta Platforms (META) — Q1 2026 Earnings (Reported April 29,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b/>
          <w:color w:val="30A46C"/>
          <w:sz w:val="22"/>
        </w:rPr>
        <w:t>POSITIVE for ad market; limited direct agency read-through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Q1 Family of Apps ad revenue +33% YoY ($55B)</w:t>
      </w:r>
      <w:r>
        <w:rPr>
          <w:rFonts w:ascii="Calibri" w:hAnsi="Calibri"/>
          <w:color w:val="525866"/>
          <w:sz w:val="22"/>
        </w:rPr>
        <w:t xml:space="preserve"> — strong demand signal for digital advertising broadly, though Meta's direct-to-advertiser model limits agency read-through.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Ad impressions +19% YoY</w:t>
      </w:r>
      <w:r>
        <w:rPr>
          <w:rFonts w:ascii="Calibri" w:hAnsi="Calibri"/>
          <w:color w:val="525866"/>
          <w:sz w:val="22"/>
        </w:rPr>
        <w:t xml:space="preserve"> with healthy growth across all regions — supply-side expansion supporting advertiser ROI.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Average price per ad +12% YoY</w:t>
      </w:r>
      <w:r>
        <w:rPr>
          <w:rFonts w:ascii="Calibri" w:hAnsi="Calibri"/>
          <w:color w:val="525866"/>
          <w:sz w:val="22"/>
        </w:rPr>
        <w:t xml:space="preserve"> — pricing power intact, suggesting advertisers are not pulling back on digital spend.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Q2 2026 revenue guidance $58-61B</w:t>
      </w:r>
      <w:r>
        <w:rPr>
          <w:rFonts w:ascii="Calibri" w:hAnsi="Calibri"/>
          <w:color w:val="525866"/>
          <w:sz w:val="22"/>
        </w:rPr>
        <w:t xml:space="preserve"> (implies continued strong growth) — positive forward signal for the ad market heading into OMC's Q2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Gen AI creative tools used by 8M+ advertisers</w:t>
      </w:r>
      <w:r>
        <w:rPr>
          <w:rFonts w:ascii="Calibri" w:hAnsi="Calibri"/>
          <w:color w:val="525866"/>
          <w:sz w:val="22"/>
        </w:rPr>
        <w:t>; value optimization suite at $20B+ annual run rate — AI-driven ad performance improvement is accelerating, which benefits agencies that can leverage these tools for clients.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The Trade Desk (TTD) — Q1 2026 Earnings (Reported May 7, 2026)</w:t>
      </w:r>
    </w:p>
    <w:p>
      <w:r>
        <w:rPr>
          <w:rFonts w:ascii="Calibri" w:hAnsi="Calibri"/>
          <w:b/>
          <w:color w:val="525866"/>
          <w:sz w:val="22"/>
        </w:rPr>
        <w:t xml:space="preserve">Read-Through Signal: </w:t>
      </w:r>
      <w:r>
        <w:rPr>
          <w:rFonts w:ascii="Calibri" w:hAnsi="Calibri"/>
          <w:b/>
          <w:color w:val="30A46C"/>
          <w:sz w:val="22"/>
        </w:rPr>
        <w:t>POSITIVE for programmatic/open internet; macro caution noted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Q1 revenue +12% YoY ($689M)</w:t>
      </w:r>
      <w:r>
        <w:rPr>
          <w:rFonts w:ascii="Calibri" w:hAnsi="Calibri"/>
          <w:color w:val="525866"/>
          <w:sz w:val="22"/>
        </w:rPr>
        <w:t xml:space="preserve"> with 30% adjusted EBITDA margin — programmatic demand healthy despite macro headwinds.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Q2 2026 revenue guidance "at least $750M"</w:t>
      </w:r>
      <w:r>
        <w:rPr>
          <w:rFonts w:ascii="Calibri" w:hAnsi="Calibri"/>
          <w:color w:val="525866"/>
          <w:sz w:val="22"/>
        </w:rPr>
        <w:t xml:space="preserve"> (+9% YoY implied) — deceleration from Q1 reflects "cloudier macro" but still positive growth.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CTV (video) ~low-50s% of business and growing</w:t>
      </w:r>
      <w:r>
        <w:rPr>
          <w:rFonts w:ascii="Calibri" w:hAnsi="Calibri"/>
          <w:color w:val="525866"/>
          <w:sz w:val="22"/>
        </w:rPr>
        <w:t>; audio grew faster than any other channel — positive for OMC's Integrated Media segment which is heavily weighted toward connected media.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JBP signings +55% YoY in Q1</w:t>
      </w:r>
      <w:r>
        <w:rPr>
          <w:rFonts w:ascii="Calibri" w:hAnsi="Calibri"/>
          <w:color w:val="525866"/>
          <w:sz w:val="22"/>
        </w:rPr>
        <w:t xml:space="preserve"> (45 JBPs in March alone) — agencies and brands are committing to programmatic platforms, supporting OMC's media buying volumes.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Macro caution:</w:t>
      </w:r>
      <w:r>
        <w:rPr>
          <w:rFonts w:ascii="Calibri" w:hAnsi="Calibri"/>
          <w:color w:val="525866"/>
          <w:sz w:val="22"/>
        </w:rPr>
        <w:t xml:space="preserve"> Home &amp; Garden and Food &amp; Drink sectors under pressure from tariffs and consumer softness — watch for any CPG client budget commentary from OMC.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Agentic AI partnership with Stagwell announced</w:t>
      </w:r>
      <w:r>
        <w:rPr>
          <w:rFonts w:ascii="Calibri" w:hAnsi="Calibri"/>
          <w:color w:val="525866"/>
          <w:sz w:val="22"/>
        </w:rPr>
        <w:t xml:space="preserve"> — validates OMC's own agentic media buying narrative; competition for AI-driven media execution is intensifying.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Q1 earnings is the </w:t>
      </w:r>
      <w:r>
        <w:rPr>
          <w:rFonts w:ascii="Calibri" w:hAnsi="Calibri"/>
          <w:b/>
          <w:color w:val="525866"/>
          <w:sz w:val="22"/>
        </w:rPr>
        <w:t>Publicis acquisition of LiveRamp (May 17)</w:t>
      </w:r>
      <w:r>
        <w:rPr>
          <w:rFonts w:ascii="Calibri" w:hAnsi="Calibri"/>
          <w:color w:val="525866"/>
          <w:sz w:val="22"/>
        </w:rPr>
        <w:t xml:space="preserve"> — it directly threatens OMC's identity infrastructure and forced an accelerated separation timeline, but OMC's Acxiom Real ID positioning and existing LiveRamp contract through Q1 2028 limit near-term disruption. Analyst coverage initiations (Goldman Buy at $146, Rothschild Neutral at $89) reflect a wide range of views on integration execution risk.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16, 2026 — Publicis Q2 2026 Earnings Beat &amp; Guidance Raise:</w:t>
      </w:r>
      <w:r>
        <w:rPr>
          <w:rFonts w:ascii="Calibri" w:hAnsi="Calibri"/>
          <w:color w:val="525866"/>
          <w:sz w:val="22"/>
        </w:rPr>
        <w:t xml:space="preserve"> Publicis reported +4.8% Q2 organic growth and raised FY guidance to 4.5-5% (from 4-5%). Directly positive read-through for ad market; also signals intensifying competition for large account consolidation. OMC stock rallied ~4% on the day.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7, 2026 — OMC Schedules Q2 2026 Earnings:</w:t>
      </w:r>
      <w:r>
        <w:rPr>
          <w:rFonts w:ascii="Calibri" w:hAnsi="Calibri"/>
          <w:color w:val="525866"/>
          <w:sz w:val="22"/>
        </w:rPr>
        <w:t xml:space="preserve"> Omnicom confirmed July 28, 2026 after-market close for Q2 results, with conference call at 4:30 PM ET. Routine announcement; no guidance update.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June 3, 2026 — Goldman Sachs Initiates OMC at Buy, $146 PT:</w:t>
      </w:r>
      <w:r>
        <w:rPr>
          <w:rFonts w:ascii="Calibri" w:hAnsi="Calibri"/>
          <w:color w:val="525866"/>
          <w:sz w:val="22"/>
        </w:rPr>
        <w:t xml:space="preserve"> Bullish initiation with a $146 price target (vs. ~$73 at time), implying ~100% upside. Goldman's thesis likely centers on synergy underappreciation and buyback-driven EPS accretion. Significant positive signal from a top-tier firm.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28, 2026 — Rothschild &amp; Co Redburn Initiates at Neutral, $89 PT:</w:t>
      </w:r>
      <w:r>
        <w:rPr>
          <w:rFonts w:ascii="Calibri" w:hAnsi="Calibri"/>
          <w:color w:val="525866"/>
          <w:sz w:val="22"/>
        </w:rPr>
        <w:t xml:space="preserve"> More cautious initiation reflecting integration execution risk and competitive pressure from Publicis. $89 PT implies modest upside from current levels.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17, 2026 — Publicis Announces Acquisition of LiveRamp:</w:t>
      </w:r>
      <w:r>
        <w:rPr>
          <w:rFonts w:ascii="Calibri" w:hAnsi="Calibri"/>
          <w:color w:val="525866"/>
          <w:sz w:val="22"/>
        </w:rPr>
        <w:t xml:space="preserve"> Publicis announced acquisition of LiveRamp, a former Acxiom sister company and key identity partner for OMC. Wren subsequently accelerated OMC's planned LiveRamp separation to ~1 year (from ~2028). OMC has a mutual contract with LiveRamp through Q1 2028; Acxiom Real ID positioned as cloud-native replacement. Near-term operations unaffected, but identity infrastructure transition risk is elevated.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13, 2026 — OMC Presents at J.P. Morgan TMT Conference:</w:t>
      </w:r>
      <w:r>
        <w:rPr>
          <w:rFonts w:ascii="Calibri" w:hAnsi="Calibri"/>
          <w:color w:val="525866"/>
          <w:sz w:val="22"/>
        </w:rPr>
        <w:t xml:space="preserve"> Management presented at JPM Global Technology, Media &amp; Communications Conference. No material guidance update disclosed; stock declined ~9% over the following week, likely reflecting broader sector rotation.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8, 2026 — Annual Meeting: Directors Elected, Executive Compensation Approved:</w:t>
      </w:r>
      <w:r>
        <w:rPr>
          <w:rFonts w:ascii="Calibri" w:hAnsi="Calibri"/>
          <w:color w:val="525866"/>
          <w:sz w:val="22"/>
        </w:rPr>
        <w:t xml:space="preserve"> Routine governance event; no material business developments.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1, 2026 — Morgan Stanley Raises PT to $83 (Equal Weight):</w:t>
      </w:r>
      <w:r>
        <w:rPr>
          <w:rFonts w:ascii="Calibri" w:hAnsi="Calibri"/>
          <w:color w:val="525866"/>
          <w:sz w:val="22"/>
        </w:rPr>
        <w:t xml:space="preserve"> Modest PT increase from $82 to $83 post-Q1 earnings; maintains cautious Equal Weight rating, reflecting integration uncertainty.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30, 2026 — Citigroup Cuts PT to $105 (Buy):</w:t>
      </w:r>
      <w:r>
        <w:rPr>
          <w:rFonts w:ascii="Calibri" w:hAnsi="Calibri"/>
          <w:color w:val="525866"/>
          <w:sz w:val="22"/>
        </w:rPr>
        <w:t xml:space="preserve"> Reduced from $115 to $105 but maintained Buy rating; likely reflects updated model post-Q1 with higher interest expense and integration costs.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28, 2026 — Q1 2026 Earnings Beat:</w:t>
      </w:r>
      <w:r>
        <w:rPr>
          <w:rFonts w:ascii="Calibri" w:hAnsi="Calibri"/>
          <w:color w:val="525866"/>
          <w:sz w:val="22"/>
        </w:rPr>
        <w:t xml:space="preserve"> Operating EPS $1.90 (+7.3% vs. consensus $1.77); organic growth 3.9% (vs. consensus 2.7%). First full quarter with IPG consolidated. Management doubled synergy target to $1.5B and launched $2.5B ASR. New business wins: IBM, GSK, John Deere, Little Caesars, Acadia Pharmaceuticals, Bally's.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No open-market buys or discretionary sells since Q1 earnings — all transactions are </w:t>
      </w:r>
      <w:r>
        <w:rPr>
          <w:rFonts w:ascii="Calibri" w:hAnsi="Calibri"/>
          <w:b/>
          <w:color w:val="525866"/>
          <w:sz w:val="22"/>
        </w:rPr>
        <w:t>routine equity award grants (code A) and tax-withholding dispositions (code F)</w:t>
      </w:r>
      <w:r>
        <w:rPr>
          <w:rFonts w:ascii="Calibri" w:hAnsi="Calibri"/>
          <w:color w:val="525866"/>
          <w:sz w:val="22"/>
        </w:rPr>
        <w:t>. The large May 22 grants to Wren, Angelastro, and Simm reflect annual equity compensation, not discretionary buying. Nothing notable to flag.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Shares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Date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John Wren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Chairman &amp; CEO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Equity Award Grant (A)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75,938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Annual equity compensation grant; not a discretionary purchase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John Wren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Chairman &amp; CEO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Tax Withholding Disposition (F)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4,397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15,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Shares withheld for tax obligation on vesting; not a discretionary sale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Philip J. Angelastro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EVP &amp; CFO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Equity Award Grant (A)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48,818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Annual equity compensation grant; not a discretionary purchase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Philip J. Angelastro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EVP &amp; CFO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Tax Withholding Disposition (F)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4,476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15,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Shares withheld for tax obligation on vesting; not a discretionary sale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Daryl Simm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Co-President &amp; Co-COO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Equity Award Grant (A)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54,242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Annual equity compensation grant; not a discretionary purchase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Daryl Simm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Co-President &amp; Co-COO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Tax Withholding Disposition (F)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3,969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15,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Shares withheld for tax obligation on vesting; not a discretionary sale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Louis F. Januzzi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SVP, General Counsel &amp; Secretary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Equity Award Grant (A)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7,720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July 16,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Equity compensation grant; not a discretionary purchase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Louis F. Januzzi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SVP, General Counsel &amp; Secretary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Tax Withholding Disposition (F)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1,849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15,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Shares withheld for tax obligation on vesting; not a discretionary sale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Multiple Directors (10 individuals)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Board of Directors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Equity Award Grant (A)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~703-1,013 shares each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July 1,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compensation grants; not discretionary purchases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Source: Insider Transaction Data (SEC Form 4 filings). </w:t>
      </w:r>
      <w:r>
        <w:rPr>
          <w:rFonts w:ascii="Calibri" w:hAnsi="Calibri"/>
          <w:color w:val="525866"/>
          <w:sz w:val="22"/>
        </w:rPr>
        <w:t>All transactions since April 28, 2026 (Q1 2026 earnings). No open-market buys (code P) or discretionary sells (code S) were filed in the period. All activity consists of equity award grants (code A — compensation) and tax-withholding dispositions (code F — obligation-driven). No 10b5-1 plan initiations were filed. Insider activity is entirely routine and provides no directional signal.</w:t>
      </w:r>
    </w:p>
    <w:p>
      <w:r>
        <w:rPr>
          <w:rFonts w:ascii="Calibri" w:hAnsi="Calibri"/>
          <w:b/>
          <w:color w:val="525866"/>
          <w:sz w:val="22"/>
        </w:rPr>
        <w:t xml:space="preserve">Analyst Consensus Summary (as of July 27, 2026): </w:t>
      </w:r>
      <w:r>
        <w:rPr>
          <w:rFonts w:ascii="Calibri" w:hAnsi="Calibri"/>
          <w:color w:val="525866"/>
          <w:sz w:val="22"/>
        </w:rPr>
        <w:t>4 Buy / 5 Hold / 1 Sell; average price target ~$99.38. Notable: Goldman Sachs Buy at $146 (June 3), Citigroup Buy at $105 (April 30), Rothschild Neutral at $89 (May 28), Morgan Stanley Equal Weight at $83 (May 1). Wide PT dispersion reflects genuine uncertainty around IPG integration execution and synergy realization timeline.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