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Omnicom Group (OMC)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Omnicom Group Inc.</w:t>
            </w:r>
          </w:p>
        </w:tc>
      </w:tr>
      <w:tr>
        <w:tc>
          <w:tcPr>
            <w:tcW w:type="dxa" w:w="4320"/>
          </w:tcPr>
          <w:p>
            <w:r>
              <w:rPr>
                <w:rFonts w:ascii="Calibri" w:hAnsi="Calibri"/>
                <w:b/>
                <w:sz w:val="22"/>
              </w:rPr>
              <w:t>Ticker</w:t>
            </w:r>
          </w:p>
        </w:tc>
        <w:tc>
          <w:tcPr>
            <w:tcW w:type="dxa" w:w="4320"/>
          </w:tcPr>
          <w:p>
            <w:r>
              <w:rPr>
                <w:rFonts w:ascii="Calibri" w:hAnsi="Calibri"/>
                <w:sz w:val="22"/>
              </w:rPr>
              <w:t>OMC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 call at 4:30 PM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r>
        <w:rPr>
          <w:rFonts w:ascii="Calibri" w:hAnsi="Calibri"/>
          <w:b/>
          <w:color w:val="525866"/>
          <w:sz w:val="22"/>
        </w:rPr>
        <w:t xml:space="preserve">⚠️ Data Caveat: </w:t>
      </w:r>
      <w:r>
        <w:rPr>
          <w:rFonts w:ascii="Calibri" w:hAnsi="Calibri"/>
          <w:i/>
          <w:color w:val="525866"/>
          <w:sz w:val="22"/>
        </w:rPr>
        <w:t>All Q2 2026 figures below reflect OMC's new "Core Operations" reporting framework (excluding disposed and held-for-sale businesses). Total reported revenue will be materially higher due to remaining disposition-category revenue (~$627M in Q1). Year-over-year comparisons are on a combined Omnicom + IPG pro forma basis, not legacy standalone OMC. Treat all YoY growth figures accordingly.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on organic growth (~3.6%) but a more demanding one on EPS (~$2.61, implying &gt;37% YoY growth on a combined basis). The bigger swing factor is EPS — driven by synergies and buybacks — not top-line growth.</w:t>
      </w:r>
    </w:p>
    <w:p>
      <w:pPr>
        <w:pStyle w:val="Heading3"/>
      </w:pPr>
      <w:r>
        <w:rPr>
          <w:rFonts w:ascii="Calibri" w:hAnsi="Calibri"/>
          <w:b/>
          <w:color w:val="3B4259"/>
          <w:sz w:val="24"/>
        </w:rPr>
        <w:t>Table 1 — Q2 2026 Current Quarter Snapshot (Core Operations)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 Reference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(reported, incl. dispositions)</w:t>
            </w:r>
          </w:p>
        </w:tc>
        <w:tc>
          <w:tcPr>
            <w:tcW w:type="dxa" w:w="1234"/>
          </w:tcPr>
          <w:p>
            <w:r>
              <w:rPr>
                <w:rFonts w:ascii="Calibri" w:hAnsi="Calibri"/>
                <w:sz w:val="22"/>
              </w:rPr>
              <w:t>$6.24B</w:t>
            </w:r>
          </w:p>
        </w:tc>
        <w:tc>
          <w:tcPr>
            <w:tcW w:type="dxa" w:w="1234"/>
          </w:tcPr>
          <w:p>
            <w:r>
              <w:rPr>
                <w:rFonts w:ascii="Calibri" w:hAnsi="Calibri"/>
                <w:sz w:val="22"/>
              </w:rPr>
              <w:t>$4.02B (legacy OMC standalone)</w:t>
            </w:r>
          </w:p>
        </w:tc>
        <w:tc>
          <w:tcPr>
            <w:tcW w:type="dxa" w:w="1234"/>
          </w:tcPr>
          <w:p>
            <w:r>
              <w:rPr>
                <w:rFonts w:ascii="Calibri" w:hAnsi="Calibri"/>
                <w:sz w:val="22"/>
              </w:rPr>
              <w:t>$6.44B</w:t>
            </w:r>
          </w:p>
        </w:tc>
        <w:tc>
          <w:tcPr>
            <w:tcW w:type="dxa" w:w="1234"/>
          </w:tcPr>
          <w:p>
            <w:r>
              <w:rPr>
                <w:rFonts w:ascii="Calibri" w:hAnsi="Calibri"/>
                <w:sz w:val="22"/>
              </w:rPr>
              <w:t>N/M (IPG consolidation)</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Core Operations Revenue (ex-dispositions)</w:t>
            </w:r>
          </w:p>
        </w:tc>
        <w:tc>
          <w:tcPr>
            <w:tcW w:type="dxa" w:w="1234"/>
          </w:tcPr>
          <w:p>
            <w:r>
              <w:rPr>
                <w:rFonts w:ascii="Calibri" w:hAnsi="Calibri"/>
                <w:sz w:val="22"/>
              </w:rPr>
              <w:t>$5.6B</w:t>
            </w:r>
          </w:p>
        </w:tc>
        <w:tc>
          <w:tcPr>
            <w:tcW w:type="dxa" w:w="1234"/>
          </w:tcPr>
          <w:p>
            <w:r>
              <w:rPr>
                <w:rFonts w:ascii="Calibri" w:hAnsi="Calibri"/>
                <w:sz w:val="22"/>
              </w:rPr>
              <w:t>~$5.3B (combined pro forma)</w:t>
            </w:r>
          </w:p>
        </w:tc>
        <w:tc>
          <w:tcPr>
            <w:tcW w:type="dxa" w:w="1234"/>
          </w:tcPr>
          <w:p>
            <w:r>
              <w:rPr>
                <w:rFonts w:ascii="Calibri" w:hAnsi="Calibri"/>
                <w:sz w:val="22"/>
              </w:rPr>
              <w:t>~$5.5–5.6B (implied)</w:t>
            </w:r>
          </w:p>
        </w:tc>
        <w:tc>
          <w:tcPr>
            <w:tcW w:type="dxa" w:w="1234"/>
          </w:tcPr>
          <w:p>
            <w:r>
              <w:rPr>
                <w:rFonts w:ascii="Calibri" w:hAnsi="Calibri"/>
                <w:sz w:val="22"/>
              </w:rPr>
              <w:t>~+4–5% (combined basis)</w:t>
            </w:r>
          </w:p>
        </w:tc>
        <w:tc>
          <w:tcPr>
            <w:tcW w:type="dxa" w:w="1234"/>
          </w:tcPr>
          <w:p>
            <w:r>
              <w:rPr>
                <w:rFonts w:ascii="Calibri" w:hAnsi="Calibri"/>
                <w:sz w:val="22"/>
              </w:rPr>
              <w:t>~4% FY organic growth (constant currency)</w:t>
            </w:r>
          </w:p>
        </w:tc>
        <w:tc>
          <w:tcPr>
            <w:tcW w:type="dxa" w:w="1234"/>
          </w:tcPr>
          <w:p>
            <w:r>
              <w:rPr>
                <w:rFonts w:ascii="Calibri" w:hAnsi="Calibri"/>
                <w:sz w:val="22"/>
              </w:rPr>
              <w:t>In line</w:t>
            </w:r>
          </w:p>
        </w:tc>
      </w:tr>
      <w:tr>
        <w:tc>
          <w:tcPr>
            <w:tcW w:type="dxa" w:w="1234"/>
          </w:tcPr>
          <w:p>
            <w:r>
              <w:rPr>
                <w:rFonts w:ascii="Calibri" w:hAnsi="Calibri"/>
                <w:sz w:val="22"/>
              </w:rPr>
              <w:t>Organic Revenue Growth (Core Ops, YoY)</w:t>
            </w:r>
          </w:p>
        </w:tc>
        <w:tc>
          <w:tcPr>
            <w:tcW w:type="dxa" w:w="1234"/>
          </w:tcPr>
          <w:p>
            <w:r>
              <w:rPr>
                <w:rFonts w:ascii="Calibri" w:hAnsi="Calibri"/>
                <w:sz w:val="22"/>
              </w:rPr>
              <w:t>3.9%</w:t>
            </w:r>
          </w:p>
        </w:tc>
        <w:tc>
          <w:tcPr>
            <w:tcW w:type="dxa" w:w="1234"/>
          </w:tcPr>
          <w:p>
            <w:r>
              <w:rPr>
                <w:rFonts w:ascii="Calibri" w:hAnsi="Calibri"/>
                <w:sz w:val="22"/>
              </w:rPr>
              <w:t>3.0% (legacy OMC)</w:t>
            </w:r>
          </w:p>
        </w:tc>
        <w:tc>
          <w:tcPr>
            <w:tcW w:type="dxa" w:w="1234"/>
          </w:tcPr>
          <w:p>
            <w:r>
              <w:rPr>
                <w:rFonts w:ascii="Calibri" w:hAnsi="Calibri"/>
                <w:sz w:val="22"/>
              </w:rPr>
              <w:t>~3.6%</w:t>
            </w:r>
          </w:p>
        </w:tc>
        <w:tc>
          <w:tcPr>
            <w:tcW w:type="dxa" w:w="1234"/>
          </w:tcPr>
          <w:p>
            <w:r>
              <w:rPr>
                <w:rFonts w:ascii="Calibri" w:hAnsi="Calibri"/>
                <w:sz w:val="22"/>
              </w:rPr>
              <w:t>+60 bps vs. Q2 2025 legacy</w:t>
            </w:r>
          </w:p>
        </w:tc>
        <w:tc>
          <w:tcPr>
            <w:tcW w:type="dxa" w:w="1234"/>
          </w:tcPr>
          <w:p>
            <w:r>
              <w:rPr>
                <w:rFonts w:ascii="Calibri" w:hAnsi="Calibri"/>
                <w:sz w:val="22"/>
              </w:rPr>
              <w:t>~4% FY 2026 (constant currency)</w:t>
            </w:r>
          </w:p>
        </w:tc>
        <w:tc>
          <w:tcPr>
            <w:tcW w:type="dxa" w:w="1234"/>
          </w:tcPr>
          <w:p>
            <w:r>
              <w:rPr>
                <w:rFonts w:ascii="Calibri" w:hAnsi="Calibri"/>
                <w:sz w:val="22"/>
              </w:rPr>
              <w:t>~40 bps below FY guide midpoint</w:t>
            </w:r>
          </w:p>
        </w:tc>
      </w:tr>
      <w:tr>
        <w:tc>
          <w:tcPr>
            <w:tcW w:type="dxa" w:w="1234"/>
          </w:tcPr>
          <w:p>
            <w:r>
              <w:rPr>
                <w:rFonts w:ascii="Calibri" w:hAnsi="Calibri"/>
                <w:sz w:val="22"/>
              </w:rPr>
              <w:t>Diluted EPS — Operating (Non-GAAP)</w:t>
            </w:r>
          </w:p>
        </w:tc>
        <w:tc>
          <w:tcPr>
            <w:tcW w:type="dxa" w:w="1234"/>
          </w:tcPr>
          <w:p>
            <w:r>
              <w:rPr>
                <w:rFonts w:ascii="Calibri" w:hAnsi="Calibri"/>
                <w:sz w:val="22"/>
              </w:rPr>
              <w:t>$1.90</w:t>
            </w:r>
          </w:p>
        </w:tc>
        <w:tc>
          <w:tcPr>
            <w:tcW w:type="dxa" w:w="1234"/>
          </w:tcPr>
          <w:p>
            <w:r>
              <w:rPr>
                <w:rFonts w:ascii="Calibri" w:hAnsi="Calibri"/>
                <w:sz w:val="22"/>
              </w:rPr>
              <w:t>$2.05 (legacy OMC)</w:t>
            </w:r>
          </w:p>
        </w:tc>
        <w:tc>
          <w:tcPr>
            <w:tcW w:type="dxa" w:w="1234"/>
          </w:tcPr>
          <w:p>
            <w:r>
              <w:rPr>
                <w:rFonts w:ascii="Calibri" w:hAnsi="Calibri"/>
                <w:sz w:val="22"/>
              </w:rPr>
              <w:t>$2.61</w:t>
            </w:r>
          </w:p>
        </w:tc>
        <w:tc>
          <w:tcPr>
            <w:tcW w:type="dxa" w:w="1234"/>
          </w:tcPr>
          <w:p>
            <w:r>
              <w:rPr>
                <w:rFonts w:ascii="Calibri" w:hAnsi="Calibri"/>
                <w:sz w:val="22"/>
              </w:rPr>
              <w:t>+27% vs. Q2 2025 legacy</w:t>
            </w:r>
          </w:p>
        </w:tc>
        <w:tc>
          <w:tcPr>
            <w:tcW w:type="dxa" w:w="1234"/>
          </w:tcPr>
          <w:p>
            <w:r>
              <w:rPr>
                <w:rFonts w:ascii="Calibri" w:hAnsi="Calibri"/>
                <w:sz w:val="22"/>
              </w:rPr>
              <w:t>"Higher double-digit" growth vs. Q1's +11.8%</w:t>
            </w:r>
          </w:p>
        </w:tc>
        <w:tc>
          <w:tcPr>
            <w:tcW w:type="dxa" w:w="1234"/>
          </w:tcPr>
          <w:p>
            <w:r>
              <w:rPr>
                <w:rFonts w:ascii="Calibri" w:hAnsi="Calibri"/>
                <w:sz w:val="22"/>
              </w:rPr>
              <w:t>Consistent with guidance</w:t>
            </w:r>
          </w:p>
        </w:tc>
      </w:tr>
      <w:tr>
        <w:tc>
          <w:tcPr>
            <w:tcW w:type="dxa" w:w="1234"/>
          </w:tcPr>
          <w:p>
            <w:r>
              <w:rPr>
                <w:rFonts w:ascii="Calibri" w:hAnsi="Calibri"/>
                <w:sz w:val="22"/>
              </w:rPr>
              <w:t>Operating EBITDA (Adjusted, Core Ops)</w:t>
            </w:r>
          </w:p>
        </w:tc>
        <w:tc>
          <w:tcPr>
            <w:tcW w:type="dxa" w:w="1234"/>
          </w:tcPr>
          <w:p>
            <w:r>
              <w:rPr>
                <w:rFonts w:ascii="Calibri" w:hAnsi="Calibri"/>
                <w:sz w:val="22"/>
              </w:rPr>
              <w:t>$862M (14.8% margin)</w:t>
            </w:r>
          </w:p>
        </w:tc>
        <w:tc>
          <w:tcPr>
            <w:tcW w:type="dxa" w:w="1234"/>
          </w:tcPr>
          <w:p>
            <w:r>
              <w:rPr>
                <w:rFonts w:ascii="Calibri" w:hAnsi="Calibri"/>
                <w:sz w:val="22"/>
              </w:rPr>
              <w:t>$602M (legacy OMC)</w:t>
            </w:r>
          </w:p>
        </w:tc>
        <w:tc>
          <w:tcPr>
            <w:tcW w:type="dxa" w:w="1234"/>
          </w:tcPr>
          <w:p>
            <w:r>
              <w:rPr>
                <w:rFonts w:ascii="Calibri" w:hAnsi="Calibri"/>
                <w:sz w:val="22"/>
              </w:rPr>
              <w:t>$1.21B</w:t>
            </w:r>
          </w:p>
        </w:tc>
        <w:tc>
          <w:tcPr>
            <w:tcW w:type="dxa" w:w="1234"/>
          </w:tcPr>
          <w:p>
            <w:r>
              <w:rPr>
                <w:rFonts w:ascii="Calibri" w:hAnsi="Calibri"/>
                <w:sz w:val="22"/>
              </w:rPr>
              <w:t>N/M (IPG consolidation)</w:t>
            </w:r>
          </w:p>
        </w:tc>
        <w:tc>
          <w:tcPr>
            <w:tcW w:type="dxa" w:w="1234"/>
          </w:tcPr>
          <w:p>
            <w:r>
              <w:rPr>
                <w:rFonts w:ascii="Calibri" w:hAnsi="Calibri"/>
                <w:sz w:val="22"/>
              </w:rPr>
              <w:t>75–80% of $900M synergies to flow to EBITDA/NI</w:t>
            </w:r>
          </w:p>
        </w:tc>
        <w:tc>
          <w:tcPr>
            <w:tcW w:type="dxa" w:w="1234"/>
          </w:tcPr>
          <w:p>
            <w:r>
              <w:rPr>
                <w:rFonts w:ascii="Calibri" w:hAnsi="Calibri"/>
                <w:sz w:val="22"/>
              </w:rPr>
              <w:t>Margin expansion expected to continue</w:t>
            </w:r>
          </w:p>
        </w:tc>
      </w:tr>
      <w:tr>
        <w:tc>
          <w:tcPr>
            <w:tcW w:type="dxa" w:w="1234"/>
          </w:tcPr>
          <w:p>
            <w:r>
              <w:rPr>
                <w:rFonts w:ascii="Calibri" w:hAnsi="Calibri"/>
                <w:sz w:val="22"/>
              </w:rPr>
              <w:t>Integrated Media Organic Growth</w:t>
            </w:r>
          </w:p>
        </w:tc>
        <w:tc>
          <w:tcPr>
            <w:tcW w:type="dxa" w:w="1234"/>
          </w:tcPr>
          <w:p>
            <w:r>
              <w:rPr>
                <w:rFonts w:ascii="Calibri" w:hAnsi="Calibri"/>
                <w:sz w:val="22"/>
              </w:rPr>
              <w:t>High single digits (~8–9%)</w:t>
            </w:r>
          </w:p>
        </w:tc>
        <w:tc>
          <w:tcPr>
            <w:tcW w:type="dxa" w:w="1234"/>
          </w:tcPr>
          <w:p>
            <w:r>
              <w:rPr>
                <w:rFonts w:ascii="Calibri" w:hAnsi="Calibri"/>
                <w:sz w:val="22"/>
              </w:rPr>
              <w:t>N/A (new segment post-IPG)</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Expected to grow toward majority of revenue by Q4</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i/>
          <w:color w:val="525866"/>
          <w:sz w:val="22"/>
        </w:rPr>
        <w:t>Total Revenue and Diluted EPS — Operating consensus from Visible Alpha. Core Operations Revenue and Organic Growth derived from Q1 2026 earnings release and Q1 2026 earnings call transcript. EBITDA consensus from Visible Alpha. Q2 2025 actuals reflect legacy standalone OMC (pre-IPG). YoY comparisons on combined pro forma basis where noted. Integrated Media is a new post-IPG discipline segment with no prior-year comparable.</w:t>
      </w:r>
    </w:p>
    <w:p>
      <w:pPr>
        <w:pStyle w:val="Heading3"/>
      </w:pPr>
      <w:r>
        <w:rPr>
          <w:rFonts w:ascii="Calibri" w:hAnsi="Calibri"/>
          <w:b/>
          <w:color w:val="3B4259"/>
          <w:sz w:val="24"/>
        </w:rPr>
        <w:t>Table 2 — Beat/Miss History: Last 8 Quarters (Top 2 KPIs)</w:t>
      </w:r>
    </w:p>
    <w:p>
      <w:r>
        <w:rPr>
          <w:rFonts w:ascii="Calibri" w:hAnsi="Calibri"/>
          <w:b/>
          <w:i/>
          <w:color w:val="525866"/>
          <w:sz w:val="22"/>
        </w:rPr>
        <w:t>KPI 1: Organic Revenue Growth (%) | KPI 2: Diluted EPS — Operating (Non-GAAP)</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Growth (Core Ops)</w:t>
            </w:r>
          </w:p>
        </w:tc>
        <w:tc>
          <w:tcPr>
            <w:tcW w:type="dxa" w:w="1440"/>
          </w:tcPr>
          <w:p>
            <w:r>
              <w:rPr>
                <w:rFonts w:ascii="Calibri" w:hAnsi="Calibri"/>
                <w:sz w:val="22"/>
              </w:rPr>
              <w:t>3.9%</w:t>
            </w:r>
          </w:p>
        </w:tc>
        <w:tc>
          <w:tcPr>
            <w:tcW w:type="dxa" w:w="1440"/>
          </w:tcPr>
          <w:p>
            <w:r>
              <w:rPr>
                <w:rFonts w:ascii="Calibri" w:hAnsi="Calibri"/>
                <w:sz w:val="22"/>
              </w:rPr>
              <w:t>~2.7%</w:t>
            </w:r>
          </w:p>
        </w:tc>
        <w:tc>
          <w:tcPr>
            <w:tcW w:type="dxa" w:w="1440"/>
          </w:tcPr>
          <w:p>
            <w:r>
              <w:rPr>
                <w:rFonts w:ascii="Calibri" w:hAnsi="Calibri"/>
                <w:b/>
                <w:color w:val="30A46C"/>
                <w:sz w:val="22"/>
              </w:rPr>
              <w:t>+120 bps</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EPS — Operating</w:t>
            </w:r>
          </w:p>
        </w:tc>
        <w:tc>
          <w:tcPr>
            <w:tcW w:type="dxa" w:w="1440"/>
          </w:tcPr>
          <w:p>
            <w:r>
              <w:rPr>
                <w:rFonts w:ascii="Calibri" w:hAnsi="Calibri"/>
                <w:sz w:val="22"/>
              </w:rPr>
              <w:t>$1.90</w:t>
            </w:r>
          </w:p>
        </w:tc>
        <w:tc>
          <w:tcPr>
            <w:tcW w:type="dxa" w:w="1440"/>
          </w:tcPr>
          <w:p>
            <w:r>
              <w:rPr>
                <w:rFonts w:ascii="Calibri" w:hAnsi="Calibri"/>
                <w:sz w:val="22"/>
              </w:rPr>
              <w:t>$1.77</w:t>
            </w:r>
          </w:p>
        </w:tc>
        <w:tc>
          <w:tcPr>
            <w:tcW w:type="dxa" w:w="1440"/>
          </w:tcPr>
          <w:p>
            <w:r>
              <w:rPr>
                <w:rFonts w:ascii="Calibri" w:hAnsi="Calibri"/>
                <w:b/>
                <w:color w:val="30A46C"/>
                <w:sz w:val="22"/>
              </w:rPr>
              <w:t>+7.3%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2.9%</w:t>
            </w:r>
          </w:p>
        </w:tc>
        <w:tc>
          <w:tcPr>
            <w:tcW w:type="dxa" w:w="1440"/>
          </w:tcPr>
          <w:p>
            <w:r>
              <w:rPr>
                <w:rFonts w:ascii="Calibri" w:hAnsi="Calibri"/>
                <w:sz w:val="22"/>
              </w:rPr>
              <w:t>3.0%</w:t>
            </w:r>
          </w:p>
        </w:tc>
        <w:tc>
          <w:tcPr>
            <w:tcW w:type="dxa" w:w="1440"/>
          </w:tcPr>
          <w:p>
            <w:r>
              <w:rPr>
                <w:rFonts w:ascii="Calibri" w:hAnsi="Calibri"/>
                <w:b/>
                <w:color w:val="E5484D"/>
                <w:sz w:val="22"/>
              </w:rPr>
              <w:t>-10 bps</w:t>
            </w:r>
          </w:p>
        </w:tc>
        <w:tc>
          <w:tcPr>
            <w:tcW w:type="dxa" w:w="1440"/>
          </w:tcPr>
          <w:p>
            <w:r>
              <w:rPr>
                <w:rFonts w:ascii="Calibri" w:hAnsi="Calibri"/>
                <w:sz w:val="22"/>
              </w:rPr>
              <w:t>Slight Miss</w:t>
            </w:r>
          </w:p>
        </w:tc>
      </w:tr>
      <w:tr>
        <w:tc>
          <w:tcPr>
            <w:tcW w:type="dxa" w:w="1440"/>
          </w:tcPr>
          <w:p>
            <w:r>
              <w:rPr>
                <w:rFonts w:ascii="Calibri" w:hAnsi="Calibri"/>
                <w:sz w:val="22"/>
              </w:rPr>
              <w:t>Q4 2025</w:t>
            </w:r>
          </w:p>
        </w:tc>
        <w:tc>
          <w:tcPr>
            <w:tcW w:type="dxa" w:w="1440"/>
          </w:tcPr>
          <w:p>
            <w:r>
              <w:rPr>
                <w:rFonts w:ascii="Calibri" w:hAnsi="Calibri"/>
                <w:sz w:val="22"/>
              </w:rPr>
              <w:t>EPS — Operating</w:t>
            </w:r>
          </w:p>
        </w:tc>
        <w:tc>
          <w:tcPr>
            <w:tcW w:type="dxa" w:w="1440"/>
          </w:tcPr>
          <w:p>
            <w:r>
              <w:rPr>
                <w:rFonts w:ascii="Calibri" w:hAnsi="Calibri"/>
                <w:sz w:val="22"/>
              </w:rPr>
              <w:t>$2.59</w:t>
            </w:r>
          </w:p>
        </w:tc>
        <w:tc>
          <w:tcPr>
            <w:tcW w:type="dxa" w:w="1440"/>
          </w:tcPr>
          <w:p>
            <w:r>
              <w:rPr>
                <w:rFonts w:ascii="Calibri" w:hAnsi="Calibri"/>
                <w:sz w:val="22"/>
              </w:rPr>
              <w:t>$2.66</w:t>
            </w:r>
          </w:p>
        </w:tc>
        <w:tc>
          <w:tcPr>
            <w:tcW w:type="dxa" w:w="1440"/>
          </w:tcPr>
          <w:p>
            <w:r>
              <w:rPr>
                <w:rFonts w:ascii="Calibri" w:hAnsi="Calibri"/>
                <w:b/>
                <w:color w:val="E5484D"/>
                <w:sz w:val="22"/>
              </w:rPr>
              <w:t>-2.6%</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2.6%</w:t>
            </w:r>
          </w:p>
        </w:tc>
        <w:tc>
          <w:tcPr>
            <w:tcW w:type="dxa" w:w="1440"/>
          </w:tcPr>
          <w:p>
            <w:r>
              <w:rPr>
                <w:rFonts w:ascii="Calibri" w:hAnsi="Calibri"/>
                <w:sz w:val="22"/>
              </w:rPr>
              <w:t>2.7%</w:t>
            </w:r>
          </w:p>
        </w:tc>
        <w:tc>
          <w:tcPr>
            <w:tcW w:type="dxa" w:w="1440"/>
          </w:tcPr>
          <w:p>
            <w:r>
              <w:rPr>
                <w:rFonts w:ascii="Calibri" w:hAnsi="Calibri"/>
                <w:sz w:val="22"/>
              </w:rPr>
              <w:t>-10 bps</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EPS — Operating</w:t>
            </w:r>
          </w:p>
        </w:tc>
        <w:tc>
          <w:tcPr>
            <w:tcW w:type="dxa" w:w="1440"/>
          </w:tcPr>
          <w:p>
            <w:r>
              <w:rPr>
                <w:rFonts w:ascii="Calibri" w:hAnsi="Calibri"/>
                <w:sz w:val="22"/>
              </w:rPr>
              <w:t>$2.24</w:t>
            </w:r>
          </w:p>
        </w:tc>
        <w:tc>
          <w:tcPr>
            <w:tcW w:type="dxa" w:w="1440"/>
          </w:tcPr>
          <w:p>
            <w:r>
              <w:rPr>
                <w:rFonts w:ascii="Calibri" w:hAnsi="Calibri"/>
                <w:sz w:val="22"/>
              </w:rPr>
              <w:t>$2.14</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3.0%</w:t>
            </w:r>
          </w:p>
        </w:tc>
        <w:tc>
          <w:tcPr>
            <w:tcW w:type="dxa" w:w="1440"/>
          </w:tcPr>
          <w:p>
            <w:r>
              <w:rPr>
                <w:rFonts w:ascii="Calibri" w:hAnsi="Calibri"/>
                <w:sz w:val="22"/>
              </w:rPr>
              <w:t>2.8%</w:t>
            </w:r>
          </w:p>
        </w:tc>
        <w:tc>
          <w:tcPr>
            <w:tcW w:type="dxa" w:w="1440"/>
          </w:tcPr>
          <w:p>
            <w:r>
              <w:rPr>
                <w:rFonts w:ascii="Calibri" w:hAnsi="Calibri"/>
                <w:b/>
                <w:color w:val="30A46C"/>
                <w:sz w:val="22"/>
              </w:rPr>
              <w:t>+20 bps</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EPS — Operating</w:t>
            </w:r>
          </w:p>
        </w:tc>
        <w:tc>
          <w:tcPr>
            <w:tcW w:type="dxa" w:w="1440"/>
          </w:tcPr>
          <w:p>
            <w:r>
              <w:rPr>
                <w:rFonts w:ascii="Calibri" w:hAnsi="Calibri"/>
                <w:sz w:val="22"/>
              </w:rPr>
              <w:t>$2.05</w:t>
            </w:r>
          </w:p>
        </w:tc>
        <w:tc>
          <w:tcPr>
            <w:tcW w:type="dxa" w:w="1440"/>
          </w:tcPr>
          <w:p>
            <w:r>
              <w:rPr>
                <w:rFonts w:ascii="Calibri" w:hAnsi="Calibri"/>
                <w:sz w:val="22"/>
              </w:rPr>
              <w:t>$1.99</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Organic Growth</w:t>
            </w:r>
          </w:p>
        </w:tc>
        <w:tc>
          <w:tcPr>
            <w:tcW w:type="dxa" w:w="1440"/>
          </w:tcPr>
          <w:p>
            <w:r>
              <w:rPr>
                <w:rFonts w:ascii="Calibri" w:hAnsi="Calibri"/>
                <w:sz w:val="22"/>
              </w:rPr>
              <w:t>3.4%</w:t>
            </w:r>
          </w:p>
        </w:tc>
        <w:tc>
          <w:tcPr>
            <w:tcW w:type="dxa" w:w="1440"/>
          </w:tcPr>
          <w:p>
            <w:r>
              <w:rPr>
                <w:rFonts w:ascii="Calibri" w:hAnsi="Calibri"/>
                <w:sz w:val="22"/>
              </w:rPr>
              <w:t>3.7%</w:t>
            </w:r>
          </w:p>
        </w:tc>
        <w:tc>
          <w:tcPr>
            <w:tcW w:type="dxa" w:w="1440"/>
          </w:tcPr>
          <w:p>
            <w:r>
              <w:rPr>
                <w:rFonts w:ascii="Calibri" w:hAnsi="Calibri"/>
                <w:b/>
                <w:color w:val="E5484D"/>
                <w:sz w:val="22"/>
              </w:rPr>
              <w:t>-30 bps</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EPS — Operating</w:t>
            </w:r>
          </w:p>
        </w:tc>
        <w:tc>
          <w:tcPr>
            <w:tcW w:type="dxa" w:w="1440"/>
          </w:tcPr>
          <w:p>
            <w:r>
              <w:rPr>
                <w:rFonts w:ascii="Calibri" w:hAnsi="Calibri"/>
                <w:sz w:val="22"/>
              </w:rPr>
              <w:t>$1.70</w:t>
            </w:r>
          </w:p>
        </w:tc>
        <w:tc>
          <w:tcPr>
            <w:tcW w:type="dxa" w:w="1440"/>
          </w:tcPr>
          <w:p>
            <w:r>
              <w:rPr>
                <w:rFonts w:ascii="Calibri" w:hAnsi="Calibri"/>
                <w:sz w:val="22"/>
              </w:rPr>
              <w:t>$1.64</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Organic Growth</w:t>
            </w:r>
          </w:p>
        </w:tc>
        <w:tc>
          <w:tcPr>
            <w:tcW w:type="dxa" w:w="1440"/>
          </w:tcPr>
          <w:p>
            <w:r>
              <w:rPr>
                <w:rFonts w:ascii="Calibri" w:hAnsi="Calibri"/>
                <w:sz w:val="22"/>
              </w:rPr>
              <w:t>5.2%</w:t>
            </w:r>
          </w:p>
        </w:tc>
        <w:tc>
          <w:tcPr>
            <w:tcW w:type="dxa" w:w="1440"/>
          </w:tcPr>
          <w:p>
            <w:r>
              <w:rPr>
                <w:rFonts w:ascii="Calibri" w:hAnsi="Calibri"/>
                <w:sz w:val="22"/>
              </w:rPr>
              <w:t>4.7%</w:t>
            </w:r>
          </w:p>
        </w:tc>
        <w:tc>
          <w:tcPr>
            <w:tcW w:type="dxa" w:w="1440"/>
          </w:tcPr>
          <w:p>
            <w:r>
              <w:rPr>
                <w:rFonts w:ascii="Calibri" w:hAnsi="Calibri"/>
                <w:b/>
                <w:color w:val="30A46C"/>
                <w:sz w:val="22"/>
              </w:rPr>
              <w:t>+50 bps</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EPS — Operating</w:t>
            </w:r>
          </w:p>
        </w:tc>
        <w:tc>
          <w:tcPr>
            <w:tcW w:type="dxa" w:w="1440"/>
          </w:tcPr>
          <w:p>
            <w:r>
              <w:rPr>
                <w:rFonts w:ascii="Calibri" w:hAnsi="Calibri"/>
                <w:sz w:val="22"/>
              </w:rPr>
              <w:t>$2.41</w:t>
            </w:r>
          </w:p>
        </w:tc>
        <w:tc>
          <w:tcPr>
            <w:tcW w:type="dxa" w:w="1440"/>
          </w:tcPr>
          <w:p>
            <w:r>
              <w:rPr>
                <w:rFonts w:ascii="Calibri" w:hAnsi="Calibri"/>
                <w:sz w:val="22"/>
              </w:rPr>
              <w:t>$2.37</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Organic Growth</w:t>
            </w:r>
          </w:p>
        </w:tc>
        <w:tc>
          <w:tcPr>
            <w:tcW w:type="dxa" w:w="1440"/>
          </w:tcPr>
          <w:p>
            <w:r>
              <w:rPr>
                <w:rFonts w:ascii="Calibri" w:hAnsi="Calibri"/>
                <w:sz w:val="22"/>
              </w:rPr>
              <w:t>6.5%</w:t>
            </w:r>
          </w:p>
        </w:tc>
        <w:tc>
          <w:tcPr>
            <w:tcW w:type="dxa" w:w="1440"/>
          </w:tcPr>
          <w:p>
            <w:r>
              <w:rPr>
                <w:rFonts w:ascii="Calibri" w:hAnsi="Calibri"/>
                <w:sz w:val="22"/>
              </w:rPr>
              <w:t>5.2%</w:t>
            </w:r>
          </w:p>
        </w:tc>
        <w:tc>
          <w:tcPr>
            <w:tcW w:type="dxa" w:w="1440"/>
          </w:tcPr>
          <w:p>
            <w:r>
              <w:rPr>
                <w:rFonts w:ascii="Calibri" w:hAnsi="Calibri"/>
                <w:b/>
                <w:color w:val="30A46C"/>
                <w:sz w:val="22"/>
              </w:rPr>
              <w:t>+130 bps</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EPS — Operating</w:t>
            </w:r>
          </w:p>
        </w:tc>
        <w:tc>
          <w:tcPr>
            <w:tcW w:type="dxa" w:w="1440"/>
          </w:tcPr>
          <w:p>
            <w:r>
              <w:rPr>
                <w:rFonts w:ascii="Calibri" w:hAnsi="Calibri"/>
                <w:sz w:val="22"/>
              </w:rPr>
              <w:t>$2.03</w:t>
            </w:r>
          </w:p>
        </w:tc>
        <w:tc>
          <w:tcPr>
            <w:tcW w:type="dxa" w:w="1440"/>
          </w:tcPr>
          <w:p>
            <w:r>
              <w:rPr>
                <w:rFonts w:ascii="Calibri" w:hAnsi="Calibri"/>
                <w:sz w:val="22"/>
              </w:rPr>
              <w:t>$2.00</w:t>
            </w:r>
          </w:p>
        </w:tc>
        <w:tc>
          <w:tcPr>
            <w:tcW w:type="dxa" w:w="1440"/>
          </w:tcPr>
          <w:p>
            <w:r>
              <w:rPr>
                <w:rFonts w:ascii="Calibri" w:hAnsi="Calibri"/>
                <w:b/>
                <w:color w:val="30A46C"/>
                <w:sz w:val="22"/>
              </w:rPr>
              <w:t>+1.5%</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OMC has beaten EPS consensus in 7 of the last 8 quarters, with the lone miss in Q4 2025 (first post-IPG close quarter) likely reflecting integration noise; organic growth beats have been less consistent, with two misses in the last four pre-IPG quarters, suggesting the top-line bar is tighter. The Q1 2026 organic beat (+120 bps vs. consensus) is the most encouraging recent data point for Q2 setup.</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stable-to-improving since the April 28 Q1 call. The full-year 4% organic growth target was reiterated without change; the more notable update was management's explicit upgrade of EPS trajectory language to "higher double-digit" growth for remaining quarters, signaling confidence in the synergy ramp and buyback impact.</w:t>
      </w:r>
    </w:p>
    <w:p>
      <w:r>
        <w:rPr>
          <w:rFonts w:ascii="Calibri" w:hAnsi="Calibri"/>
          <w:i/>
          <w:color w:val="525866"/>
          <w:sz w:val="22"/>
        </w:rPr>
        <w:t>Baseline: Q1 2026 Earnings Call (April 28, 2026). No post-earnings 8-K guidance revision or investor conference update has been filed since then. The July 7 press release only announced the Q2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 (Core Ops)</w:t>
            </w:r>
          </w:p>
        </w:tc>
        <w:tc>
          <w:tcPr>
            <w:tcW w:type="dxa" w:w="1728"/>
          </w:tcPr>
          <w:p>
            <w:r>
              <w:rPr>
                <w:rFonts w:ascii="Calibri" w:hAnsi="Calibri"/>
                <w:sz w:val="22"/>
              </w:rPr>
              <w:t>~4% constant currency</w:t>
            </w:r>
          </w:p>
        </w:tc>
        <w:tc>
          <w:tcPr>
            <w:tcW w:type="dxa" w:w="1728"/>
          </w:tcPr>
          <w:p>
            <w:r>
              <w:rPr>
                <w:rFonts w:ascii="Calibri" w:hAnsi="Calibri"/>
                <w:sz w:val="22"/>
              </w:rPr>
              <w:t>—</w:t>
            </w:r>
          </w:p>
        </w:tc>
        <w:tc>
          <w:tcPr>
            <w:tcW w:type="dxa" w:w="1728"/>
          </w:tcPr>
          <w:p>
            <w:r>
              <w:rPr>
                <w:rFonts w:ascii="Calibri" w:hAnsi="Calibri"/>
                <w:sz w:val="22"/>
              </w:rPr>
              <w:t>~3.7%</w:t>
            </w:r>
          </w:p>
        </w:tc>
        <w:tc>
          <w:tcPr>
            <w:tcW w:type="dxa" w:w="1728"/>
          </w:tcPr>
          <w:p>
            <w:r>
              <w:rPr>
                <w:rFonts w:ascii="Calibri" w:hAnsi="Calibri"/>
                <w:sz w:val="22"/>
              </w:rPr>
              <w:t>Reiterated at Q1 call; no change since Investor Day (Mar 12)</w:t>
            </w:r>
          </w:p>
        </w:tc>
      </w:tr>
      <w:tr>
        <w:tc>
          <w:tcPr>
            <w:tcW w:type="dxa" w:w="1728"/>
          </w:tcPr>
          <w:p>
            <w:r>
              <w:rPr>
                <w:rFonts w:ascii="Calibri" w:hAnsi="Calibri"/>
                <w:sz w:val="22"/>
              </w:rPr>
              <w:t>FY 2026 Non-GAAP Adjusted EPS Growth</w:t>
            </w:r>
          </w:p>
        </w:tc>
        <w:tc>
          <w:tcPr>
            <w:tcW w:type="dxa" w:w="1728"/>
          </w:tcPr>
          <w:p>
            <w:r>
              <w:rPr>
                <w:rFonts w:ascii="Calibri" w:hAnsi="Calibri"/>
                <w:sz w:val="22"/>
              </w:rPr>
              <w:t>Double-digit growth; remaining quarters "higher double-digit" than Q1's +11.8%</w:t>
            </w:r>
          </w:p>
        </w:tc>
        <w:tc>
          <w:tcPr>
            <w:tcW w:type="dxa" w:w="1728"/>
          </w:tcPr>
          <w:p>
            <w:r>
              <w:rPr>
                <w:rFonts w:ascii="Calibri" w:hAnsi="Calibri"/>
                <w:sz w:val="22"/>
              </w:rPr>
              <w:t>—</w:t>
            </w:r>
          </w:p>
        </w:tc>
        <w:tc>
          <w:tcPr>
            <w:tcW w:type="dxa" w:w="1728"/>
          </w:tcPr>
          <w:p>
            <w:r>
              <w:rPr>
                <w:rFonts w:ascii="Calibri" w:hAnsi="Calibri"/>
                <w:sz w:val="22"/>
              </w:rPr>
              <w:t>~$10.77 FY (implying ~+20% YoY)</w:t>
            </w:r>
          </w:p>
        </w:tc>
        <w:tc>
          <w:tcPr>
            <w:tcW w:type="dxa" w:w="1728"/>
          </w:tcPr>
          <w:p>
            <w:r>
              <w:rPr>
                <w:rFonts w:ascii="Calibri" w:hAnsi="Calibri"/>
                <w:sz w:val="22"/>
              </w:rPr>
              <w:t>↑ Upgraded at Q1 call; language shifted from generic "double-digit" to explicitly higher than Q1's 11.8%</w:t>
            </w:r>
          </w:p>
        </w:tc>
      </w:tr>
      <w:tr>
        <w:tc>
          <w:tcPr>
            <w:tcW w:type="dxa" w:w="1728"/>
          </w:tcPr>
          <w:p>
            <w:r>
              <w:rPr>
                <w:rFonts w:ascii="Calibri" w:hAnsi="Calibri"/>
                <w:sz w:val="22"/>
              </w:rPr>
              <w:t>FY 2026 Cost Reduction Synergies</w:t>
            </w:r>
          </w:p>
        </w:tc>
        <w:tc>
          <w:tcPr>
            <w:tcW w:type="dxa" w:w="1728"/>
          </w:tcPr>
          <w:p>
            <w:r>
              <w:rPr>
                <w:rFonts w:ascii="Calibri" w:hAnsi="Calibri"/>
                <w:sz w:val="22"/>
              </w:rPr>
              <w:t>$900M in 2026; $1.5B by mid-2028</w:t>
            </w:r>
          </w:p>
        </w:tc>
        <w:tc>
          <w:tcPr>
            <w:tcW w:type="dxa" w:w="1728"/>
          </w:tcPr>
          <w:p>
            <w:r>
              <w:rPr>
                <w:rFonts w:ascii="Calibri" w:hAnsi="Calibri"/>
                <w:sz w:val="22"/>
              </w:rPr>
              <w:t>—</w:t>
            </w:r>
          </w:p>
        </w:tc>
        <w:tc>
          <w:tcPr>
            <w:tcW w:type="dxa" w:w="1728"/>
          </w:tcPr>
          <w:p>
            <w:r>
              <w:rPr>
                <w:rFonts w:ascii="Calibri" w:hAnsi="Calibri"/>
                <w:sz w:val="22"/>
              </w:rPr>
              <w:t>N/A (not a consensus KPI)</w:t>
            </w:r>
          </w:p>
        </w:tc>
        <w:tc>
          <w:tcPr>
            <w:tcW w:type="dxa" w:w="1728"/>
          </w:tcPr>
          <w:p>
            <w:r>
              <w:rPr>
                <w:rFonts w:ascii="Calibri" w:hAnsi="Calibri"/>
                <w:sz w:val="22"/>
              </w:rPr>
              <w:t>Reiterated; ~75–80% expected to flow to EBITDA/NI</w:t>
            </w:r>
          </w:p>
        </w:tc>
      </w:tr>
      <w:tr>
        <w:tc>
          <w:tcPr>
            <w:tcW w:type="dxa" w:w="1728"/>
          </w:tcPr>
          <w:p>
            <w:r>
              <w:rPr>
                <w:rFonts w:ascii="Calibri" w:hAnsi="Calibri"/>
                <w:sz w:val="22"/>
              </w:rPr>
              <w:t>FY 2026 Share Repurchases</w:t>
            </w:r>
          </w:p>
        </w:tc>
        <w:tc>
          <w:tcPr>
            <w:tcW w:type="dxa" w:w="1728"/>
          </w:tcPr>
          <w:p>
            <w:r>
              <w:rPr>
                <w:rFonts w:ascii="Calibri" w:hAnsi="Calibri"/>
                <w:sz w:val="22"/>
              </w:rPr>
              <w:t>$3.5B in 2026 under $5B authorization; $2.8B completed through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share count expected to decline 11–12% by Dec 31, 2026</w:t>
            </w:r>
          </w:p>
        </w:tc>
      </w:tr>
      <w:tr>
        <w:tc>
          <w:tcPr>
            <w:tcW w:type="dxa" w:w="1728"/>
          </w:tcPr>
          <w:p>
            <w:r>
              <w:rPr>
                <w:rFonts w:ascii="Calibri" w:hAnsi="Calibri"/>
                <w:sz w:val="22"/>
              </w:rPr>
              <w:t>Disposed Business EBITDA Margins</w:t>
            </w:r>
          </w:p>
        </w:tc>
        <w:tc>
          <w:tcPr>
            <w:tcW w:type="dxa" w:w="1728"/>
          </w:tcPr>
          <w:p>
            <w:r>
              <w:rPr>
                <w:rFonts w:ascii="Calibri" w:hAnsi="Calibri"/>
                <w:sz w:val="22"/>
              </w:rPr>
              <w:t>"Probably not 10%" — revised down from Investor Day ~10% reference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Revised down at Q1 call; management acknowledged margins are lower than initially communicated</w:t>
            </w:r>
          </w:p>
        </w:tc>
      </w:tr>
      <w:tr>
        <w:tc>
          <w:tcPr>
            <w:tcW w:type="dxa" w:w="1728"/>
          </w:tcPr>
          <w:p>
            <w:r>
              <w:rPr>
                <w:rFonts w:ascii="Calibri" w:hAnsi="Calibri"/>
                <w:sz w:val="22"/>
              </w:rPr>
              <w:t>FX Impact on Revenue</w:t>
            </w:r>
          </w:p>
        </w:tc>
        <w:tc>
          <w:tcPr>
            <w:tcW w:type="dxa" w:w="1728"/>
          </w:tcPr>
          <w:p>
            <w:r>
              <w:rPr>
                <w:rFonts w:ascii="Calibri" w:hAnsi="Calibri"/>
                <w:sz w:val="22"/>
              </w:rPr>
              <w:t>~+1% benefit to reported revenue for FY 2026 (assuming stable rates)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Q1 call; FX has been a tailwind in 2026</w:t>
            </w:r>
          </w:p>
        </w:tc>
      </w:tr>
      <w:tr>
        <w:tc>
          <w:tcPr>
            <w:tcW w:type="dxa" w:w="1728"/>
          </w:tcPr>
          <w:p>
            <w:r>
              <w:rPr>
                <w:rFonts w:ascii="Calibri" w:hAnsi="Calibri"/>
                <w:sz w:val="22"/>
              </w:rPr>
              <w:t>Net Interest Expense Increase (FY 2026 vs. 2025)</w:t>
            </w:r>
          </w:p>
        </w:tc>
        <w:tc>
          <w:tcPr>
            <w:tcW w:type="dxa" w:w="1728"/>
          </w:tcPr>
          <w:p>
            <w:r>
              <w:rPr>
                <w:rFonts w:ascii="Calibri" w:hAnsi="Calibri"/>
                <w:sz w:val="22"/>
              </w:rPr>
              <w:t>~$200M increase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reflects higher debt post-IPG acquisition</w:t>
            </w:r>
          </w:p>
        </w:tc>
      </w:tr>
      <w:tr>
        <w:tc>
          <w:tcPr>
            <w:tcW w:type="dxa" w:w="1728"/>
          </w:tcPr>
          <w:p>
            <w:r>
              <w:rPr>
                <w:rFonts w:ascii="Calibri" w:hAnsi="Calibri"/>
                <w:sz w:val="22"/>
              </w:rPr>
              <w:t>Effective Tax Rate (FY 2026)</w:t>
            </w:r>
          </w:p>
        </w:tc>
        <w:tc>
          <w:tcPr>
            <w:tcW w:type="dxa" w:w="1728"/>
          </w:tcPr>
          <w:p>
            <w:r>
              <w:rPr>
                <w:rFonts w:ascii="Calibri" w:hAnsi="Calibri"/>
                <w:sz w:val="22"/>
              </w:rPr>
              <w:t>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consistent with Investor Day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EPS estimates for Q2 2026 have drifted modestly lower since the Q1 print (from ~$2.63 to ~$2.61), while FY 2026 EPS consensus has been broadly stable. Organic growth estimates are tracking slightly below the 4% guidance midpoint, consistent with management's own framing that Q2 may be a touch softer than the full-year target before re-accelerating in H2.</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28)</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EPS — Operating (Q2 2026)</w:t>
            </w:r>
          </w:p>
        </w:tc>
        <w:tc>
          <w:tcPr>
            <w:tcW w:type="dxa" w:w="1080"/>
          </w:tcPr>
          <w:p>
            <w:r>
              <w:rPr>
                <w:rFonts w:ascii="Calibri" w:hAnsi="Calibri"/>
                <w:sz w:val="22"/>
              </w:rPr>
              <w:t>$2.63</w:t>
            </w:r>
          </w:p>
        </w:tc>
        <w:tc>
          <w:tcPr>
            <w:tcW w:type="dxa" w:w="1080"/>
          </w:tcPr>
          <w:p>
            <w:r>
              <w:rPr>
                <w:rFonts w:ascii="Calibri" w:hAnsi="Calibri"/>
                <w:sz w:val="22"/>
              </w:rPr>
              <w:t>$2.61</w:t>
            </w:r>
          </w:p>
        </w:tc>
        <w:tc>
          <w:tcPr>
            <w:tcW w:type="dxa" w:w="1080"/>
          </w:tcPr>
          <w:p>
            <w:r>
              <w:rPr>
                <w:rFonts w:ascii="Calibri" w:hAnsi="Calibri"/>
                <w:sz w:val="22"/>
              </w:rPr>
              <w:t>-0.8%</w:t>
            </w:r>
          </w:p>
        </w:tc>
        <w:tc>
          <w:tcPr>
            <w:tcW w:type="dxa" w:w="1080"/>
          </w:tcPr>
          <w:p>
            <w:r>
              <w:rPr>
                <w:rFonts w:ascii="Calibri" w:hAnsi="Calibri"/>
                <w:sz w:val="22"/>
              </w:rPr>
              <w:t>"Higher double-digit" growth vs. Q1's +11.8%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(implies ~+37% YoY vs. Q2 2025 $1.90 combined)</w:t>
            </w:r>
          </w:p>
        </w:tc>
      </w:tr>
      <w:tr>
        <w:tc>
          <w:tcPr>
            <w:tcW w:type="dxa" w:w="1080"/>
          </w:tcPr>
          <w:p>
            <w:r>
              <w:rPr>
                <w:rFonts w:ascii="Calibri" w:hAnsi="Calibri"/>
                <w:sz w:val="22"/>
              </w:rPr>
              <w:t>Diluted EPS — Operating (FY 2026)</w:t>
            </w:r>
          </w:p>
        </w:tc>
        <w:tc>
          <w:tcPr>
            <w:tcW w:type="dxa" w:w="1080"/>
          </w:tcPr>
          <w:p>
            <w:r>
              <w:rPr>
                <w:rFonts w:ascii="Calibri" w:hAnsi="Calibri"/>
                <w:sz w:val="22"/>
              </w:rPr>
              <w:t>$10.83</w:t>
            </w:r>
          </w:p>
        </w:tc>
        <w:tc>
          <w:tcPr>
            <w:tcW w:type="dxa" w:w="1080"/>
          </w:tcPr>
          <w:p>
            <w:r>
              <w:rPr>
                <w:rFonts w:ascii="Calibri" w:hAnsi="Calibri"/>
                <w:sz w:val="22"/>
              </w:rPr>
              <w:t>$10.77</w:t>
            </w:r>
          </w:p>
        </w:tc>
        <w:tc>
          <w:tcPr>
            <w:tcW w:type="dxa" w:w="1080"/>
          </w:tcPr>
          <w:p>
            <w:r>
              <w:rPr>
                <w:rFonts w:ascii="Calibri" w:hAnsi="Calibri"/>
                <w:sz w:val="22"/>
              </w:rPr>
              <w:t>-0.6%</w:t>
            </w:r>
          </w:p>
        </w:tc>
        <w:tc>
          <w:tcPr>
            <w:tcW w:type="dxa" w:w="1080"/>
          </w:tcPr>
          <w:p>
            <w:r>
              <w:rPr>
                <w:rFonts w:ascii="Calibri" w:hAnsi="Calibri"/>
                <w:sz w:val="22"/>
              </w:rPr>
              <w:t>Double-digit growth; "higher double-digit" for remaining quarters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Broadly consistent</w:t>
            </w:r>
          </w:p>
        </w:tc>
      </w:tr>
      <w:tr>
        <w:tc>
          <w:tcPr>
            <w:tcW w:type="dxa" w:w="1080"/>
          </w:tcPr>
          <w:p>
            <w:r>
              <w:rPr>
                <w:rFonts w:ascii="Calibri" w:hAnsi="Calibri"/>
                <w:sz w:val="22"/>
              </w:rPr>
              <w:t>Total Revenue (Q2 2026)</w:t>
            </w:r>
          </w:p>
        </w:tc>
        <w:tc>
          <w:tcPr>
            <w:tcW w:type="dxa" w:w="1080"/>
          </w:tcPr>
          <w:p>
            <w:r>
              <w:rPr>
                <w:rFonts w:ascii="Calibri" w:hAnsi="Calibri"/>
                <w:sz w:val="22"/>
              </w:rPr>
              <w:t>$6.33B</w:t>
            </w:r>
          </w:p>
        </w:tc>
        <w:tc>
          <w:tcPr>
            <w:tcW w:type="dxa" w:w="1080"/>
          </w:tcPr>
          <w:p>
            <w:r>
              <w:rPr>
                <w:rFonts w:ascii="Calibri" w:hAnsi="Calibri"/>
                <w:sz w:val="22"/>
              </w:rPr>
              <w:t>$6.44B</w:t>
            </w:r>
          </w:p>
        </w:tc>
        <w:tc>
          <w:tcPr>
            <w:tcW w:type="dxa" w:w="1080"/>
          </w:tcPr>
          <w:p>
            <w:r>
              <w:rPr>
                <w:rFonts w:ascii="Calibri" w:hAnsi="Calibri"/>
                <w:sz w:val="22"/>
              </w:rPr>
              <w:t>+1.7%</w:t>
            </w:r>
          </w:p>
        </w:tc>
        <w:tc>
          <w:tcPr>
            <w:tcW w:type="dxa" w:w="1080"/>
          </w:tcPr>
          <w:p>
            <w:r>
              <w:rPr>
                <w:rFonts w:ascii="Calibri" w:hAnsi="Calibri"/>
                <w:sz w:val="22"/>
              </w:rPr>
              <w:t>No specific Q2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$25.39B</w:t>
            </w:r>
          </w:p>
        </w:tc>
        <w:tc>
          <w:tcPr>
            <w:tcW w:type="dxa" w:w="1080"/>
          </w:tcPr>
          <w:p>
            <w:r>
              <w:rPr>
                <w:rFonts w:ascii="Calibri" w:hAnsi="Calibri"/>
                <w:sz w:val="22"/>
              </w:rPr>
              <w:t>$25.67B</w:t>
            </w:r>
          </w:p>
        </w:tc>
        <w:tc>
          <w:tcPr>
            <w:tcW w:type="dxa" w:w="1080"/>
          </w:tcPr>
          <w:p>
            <w:r>
              <w:rPr>
                <w:rFonts w:ascii="Calibri" w:hAnsi="Calibri"/>
                <w:sz w:val="22"/>
              </w:rPr>
              <w:t>+1.1%</w:t>
            </w:r>
          </w:p>
        </w:tc>
        <w:tc>
          <w:tcPr>
            <w:tcW w:type="dxa" w:w="1080"/>
          </w:tcPr>
          <w:p>
            <w:r>
              <w:rPr>
                <w:rFonts w:ascii="Calibri" w:hAnsi="Calibri"/>
                <w:sz w:val="22"/>
              </w:rPr>
              <w:t>~4% organic growth on $23.1B adjusted base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Broadly consistent</w:t>
            </w:r>
          </w:p>
        </w:tc>
      </w:tr>
      <w:tr>
        <w:tc>
          <w:tcPr>
            <w:tcW w:type="dxa" w:w="1080"/>
          </w:tcPr>
          <w:p>
            <w:r>
              <w:rPr>
                <w:rFonts w:ascii="Calibri" w:hAnsi="Calibri"/>
                <w:sz w:val="22"/>
              </w:rPr>
              <w:t>Organic Revenue Growth (Q2 2026)</w:t>
            </w:r>
          </w:p>
        </w:tc>
        <w:tc>
          <w:tcPr>
            <w:tcW w:type="dxa" w:w="1080"/>
          </w:tcPr>
          <w:p>
            <w:r>
              <w:rPr>
                <w:rFonts w:ascii="Calibri" w:hAnsi="Calibri"/>
                <w:sz w:val="22"/>
              </w:rPr>
              <w:t>~3.5%</w:t>
            </w:r>
          </w:p>
        </w:tc>
        <w:tc>
          <w:tcPr>
            <w:tcW w:type="dxa" w:w="1080"/>
          </w:tcPr>
          <w:p>
            <w:r>
              <w:rPr>
                <w:rFonts w:ascii="Calibri" w:hAnsi="Calibri"/>
                <w:sz w:val="22"/>
              </w:rPr>
              <w:t>~3.6%</w:t>
            </w:r>
          </w:p>
        </w:tc>
        <w:tc>
          <w:tcPr>
            <w:tcW w:type="dxa" w:w="1080"/>
          </w:tcPr>
          <w:p>
            <w:r>
              <w:rPr>
                <w:rFonts w:ascii="Calibri" w:hAnsi="Calibri"/>
                <w:sz w:val="22"/>
              </w:rPr>
              <w:t>+10 bps</w:t>
            </w:r>
          </w:p>
        </w:tc>
        <w:tc>
          <w:tcPr>
            <w:tcW w:type="dxa" w:w="1080"/>
          </w:tcPr>
          <w:p>
            <w:r>
              <w:rPr>
                <w:rFonts w:ascii="Calibri" w:hAnsi="Calibri"/>
                <w:sz w:val="22"/>
              </w:rPr>
              <w:t>~4% FY constant currency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below FY guide midpoint; within normal quarterly variation</w:t>
            </w:r>
          </w:p>
        </w:tc>
      </w:tr>
      <w:tr>
        <w:tc>
          <w:tcPr>
            <w:tcW w:type="dxa" w:w="1080"/>
          </w:tcPr>
          <w:p>
            <w:r>
              <w:rPr>
                <w:rFonts w:ascii="Calibri" w:hAnsi="Calibri"/>
                <w:sz w:val="22"/>
              </w:rPr>
              <w:t>Adj. EBITDA — Operating (Q2 2026)</w:t>
            </w:r>
          </w:p>
        </w:tc>
        <w:tc>
          <w:tcPr>
            <w:tcW w:type="dxa" w:w="1080"/>
          </w:tcPr>
          <w:p>
            <w:r>
              <w:rPr>
                <w:rFonts w:ascii="Calibri" w:hAnsi="Calibri"/>
                <w:sz w:val="22"/>
              </w:rPr>
              <w:t>$1.195B</w:t>
            </w:r>
          </w:p>
        </w:tc>
        <w:tc>
          <w:tcPr>
            <w:tcW w:type="dxa" w:w="1080"/>
          </w:tcPr>
          <w:p>
            <w:r>
              <w:rPr>
                <w:rFonts w:ascii="Calibri" w:hAnsi="Calibri"/>
                <w:sz w:val="22"/>
              </w:rPr>
              <w:t>$1.212B</w:t>
            </w:r>
          </w:p>
        </w:tc>
        <w:tc>
          <w:tcPr>
            <w:tcW w:type="dxa" w:w="1080"/>
          </w:tcPr>
          <w:p>
            <w:r>
              <w:rPr>
                <w:rFonts w:ascii="Calibri" w:hAnsi="Calibri"/>
                <w:sz w:val="22"/>
              </w:rPr>
              <w:t>+1.4%</w:t>
            </w:r>
          </w:p>
        </w:tc>
        <w:tc>
          <w:tcPr>
            <w:tcW w:type="dxa" w:w="1080"/>
          </w:tcPr>
          <w:p>
            <w:r>
              <w:rPr>
                <w:rFonts w:ascii="Calibri" w:hAnsi="Calibri"/>
                <w:sz w:val="22"/>
              </w:rPr>
              <w:t>75–80% of $900M synergies to flow to EBITDA/NI</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synergy ramp trajectory</w:t>
            </w:r>
          </w:p>
        </w:tc>
      </w:tr>
    </w:tbl>
    <w:p>
      <w:r>
        <w:rPr>
          <w:rFonts w:ascii="Calibri" w:hAnsi="Calibri"/>
          <w:i/>
          <w:color w:val="525866"/>
          <w:sz w:val="22"/>
        </w:rPr>
        <w:t>Source: Visible Alpha consensus data. Post-Q1 baseline uses as-of date May 5, 2026 (approximately 5 trading days after April 28 earnings). Organic growth estimates are derived from VA consensus; FY 2026 organic growth consensus of ~3.7% sits modestly below management's 4% constant-currency target, representing a small cushion rather than a risk. EPS revisions have been essentially flat since Q1, suggesting the street is comfortable with the synergy/buyback math but not yet pricing in upside.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OMC has outperformed both the XLC (Communication Services ETF) and the S&amp;P 500 since Q1 earnings, driven primarily by multiple expansion (+5–6% on EV/EBITDA) rather than estimate revisions, which have been flat. The stock's re-rating from deeply depressed levels reflects growing confidence in IPG integration execution, but the NTM P/E of ~6.9x remains far below historical norms, suggesting the market is still pricing in meaningful execution risk.</w:t>
      </w:r>
    </w:p>
    <w:p>
      <w:r>
        <w:rPr>
          <w:rFonts w:ascii="Calibri" w:hAnsi="Calibri"/>
          <w:b/>
          <w:color w:val="525866"/>
          <w:sz w:val="22"/>
        </w:rPr>
        <w:t>Chart: OMC vs. XLC vs. S&amp;P 500 — Indexed to 100 at April 28,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OMC (Indexed)</w:t>
            </w:r>
          </w:p>
        </w:tc>
        <w:tc>
          <w:tcPr>
            <w:tcW w:type="dxa" w:w="2160"/>
            <w:shd w:val="clear" w:color="auto" w:fill="3B4259"/>
          </w:tcPr>
          <w:p>
            <w:r>
              <w:rPr>
                <w:rFonts w:ascii="Calibri" w:hAnsi="Calibri"/>
                <w:b/>
                <w:color w:val="FFFFFF"/>
                <w:sz w:val="22"/>
              </w:rPr>
              <w:t>XLC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92.1</w:t>
            </w:r>
          </w:p>
        </w:tc>
        <w:tc>
          <w:tcPr>
            <w:tcW w:type="dxa" w:w="2160"/>
          </w:tcPr>
          <w:p>
            <w:r>
              <w:rPr>
                <w:rFonts w:ascii="Calibri" w:hAnsi="Calibri"/>
                <w:sz w:val="22"/>
              </w:rPr>
              <w:t>100.3</w:t>
            </w:r>
          </w:p>
        </w:tc>
        <w:tc>
          <w:tcPr>
            <w:tcW w:type="dxa" w:w="2160"/>
          </w:tcPr>
          <w:p>
            <w:r>
              <w:rPr>
                <w:rFonts w:ascii="Calibri" w:hAnsi="Calibri"/>
                <w:sz w:val="22"/>
              </w:rPr>
              <w:t>103.9</w:t>
            </w:r>
          </w:p>
        </w:tc>
      </w:tr>
      <w:tr>
        <w:tc>
          <w:tcPr>
            <w:tcW w:type="dxa" w:w="2160"/>
          </w:tcPr>
          <w:p>
            <w:r>
              <w:rPr>
                <w:rFonts w:ascii="Calibri" w:hAnsi="Calibri"/>
                <w:sz w:val="22"/>
              </w:rPr>
              <w:t>Jun 18, 2026</w:t>
            </w:r>
          </w:p>
        </w:tc>
        <w:tc>
          <w:tcPr>
            <w:tcW w:type="dxa" w:w="2160"/>
          </w:tcPr>
          <w:p>
            <w:r>
              <w:rPr>
                <w:rFonts w:ascii="Calibri" w:hAnsi="Calibri"/>
                <w:sz w:val="22"/>
              </w:rPr>
              <w:t>92.8</w:t>
            </w:r>
          </w:p>
        </w:tc>
        <w:tc>
          <w:tcPr>
            <w:tcW w:type="dxa" w:w="2160"/>
          </w:tcPr>
          <w:p>
            <w:r>
              <w:rPr>
                <w:rFonts w:ascii="Calibri" w:hAnsi="Calibri"/>
                <w:sz w:val="22"/>
              </w:rPr>
              <w:t>94.6</w:t>
            </w:r>
          </w:p>
        </w:tc>
        <w:tc>
          <w:tcPr>
            <w:tcW w:type="dxa" w:w="2160"/>
          </w:tcPr>
          <w:p>
            <w:r>
              <w:rPr>
                <w:rFonts w:ascii="Calibri" w:hAnsi="Calibri"/>
                <w:sz w:val="22"/>
              </w:rPr>
              <w:t>104.9</w:t>
            </w:r>
          </w:p>
        </w:tc>
      </w:tr>
      <w:tr>
        <w:tc>
          <w:tcPr>
            <w:tcW w:type="dxa" w:w="2160"/>
          </w:tcPr>
          <w:p>
            <w:r>
              <w:rPr>
                <w:rFonts w:ascii="Calibri" w:hAnsi="Calibri"/>
                <w:sz w:val="22"/>
              </w:rPr>
              <w:t>Jul 2, 2026</w:t>
            </w:r>
          </w:p>
        </w:tc>
        <w:tc>
          <w:tcPr>
            <w:tcW w:type="dxa" w:w="2160"/>
          </w:tcPr>
          <w:p>
            <w:r>
              <w:rPr>
                <w:rFonts w:ascii="Calibri" w:hAnsi="Calibri"/>
                <w:sz w:val="22"/>
              </w:rPr>
              <w:t>102.3</w:t>
            </w:r>
          </w:p>
        </w:tc>
        <w:tc>
          <w:tcPr>
            <w:tcW w:type="dxa" w:w="2160"/>
          </w:tcPr>
          <w:p>
            <w:r>
              <w:rPr>
                <w:rFonts w:ascii="Calibri" w:hAnsi="Calibri"/>
                <w:sz w:val="22"/>
              </w:rPr>
              <w:t>94.7</w:t>
            </w:r>
          </w:p>
        </w:tc>
        <w:tc>
          <w:tcPr>
            <w:tcW w:type="dxa" w:w="2160"/>
          </w:tcPr>
          <w:p>
            <w:r>
              <w:rPr>
                <w:rFonts w:ascii="Calibri" w:hAnsi="Calibri"/>
                <w:sz w:val="22"/>
              </w:rPr>
              <w:t>104.6</w:t>
            </w:r>
          </w:p>
        </w:tc>
      </w:tr>
      <w:tr>
        <w:tc>
          <w:tcPr>
            <w:tcW w:type="dxa" w:w="2160"/>
          </w:tcPr>
          <w:p>
            <w:r>
              <w:rPr>
                <w:rFonts w:ascii="Calibri" w:hAnsi="Calibri"/>
                <w:sz w:val="22"/>
              </w:rPr>
              <w:t>Jul 16, 2026</w:t>
            </w:r>
          </w:p>
        </w:tc>
        <w:tc>
          <w:tcPr>
            <w:tcW w:type="dxa" w:w="2160"/>
          </w:tcPr>
          <w:p>
            <w:r>
              <w:rPr>
                <w:rFonts w:ascii="Calibri" w:hAnsi="Calibri"/>
                <w:sz w:val="22"/>
              </w:rPr>
              <w:t>109.5</w:t>
            </w:r>
          </w:p>
        </w:tc>
        <w:tc>
          <w:tcPr>
            <w:tcW w:type="dxa" w:w="2160"/>
          </w:tcPr>
          <w:p>
            <w:r>
              <w:rPr>
                <w:rFonts w:ascii="Calibri" w:hAnsi="Calibri"/>
                <w:sz w:val="22"/>
              </w:rPr>
              <w:t>97.3</w:t>
            </w:r>
          </w:p>
        </w:tc>
        <w:tc>
          <w:tcPr>
            <w:tcW w:type="dxa" w:w="2160"/>
          </w:tcPr>
          <w:p>
            <w:r>
              <w:rPr>
                <w:rFonts w:ascii="Calibri" w:hAnsi="Calibri"/>
                <w:sz w:val="22"/>
              </w:rPr>
              <w:t>105.5</w:t>
            </w:r>
          </w:p>
        </w:tc>
      </w:tr>
      <w:tr>
        <w:tc>
          <w:tcPr>
            <w:tcW w:type="dxa" w:w="2160"/>
          </w:tcPr>
          <w:p>
            <w:r>
              <w:rPr>
                <w:rFonts w:ascii="Calibri" w:hAnsi="Calibri"/>
                <w:sz w:val="22"/>
              </w:rPr>
              <w:t>Jul 28, 2026 (Latest)</w:t>
            </w:r>
          </w:p>
        </w:tc>
        <w:tc>
          <w:tcPr>
            <w:tcW w:type="dxa" w:w="2160"/>
          </w:tcPr>
          <w:p>
            <w:r>
              <w:rPr>
                <w:rFonts w:ascii="Calibri" w:hAnsi="Calibri"/>
                <w:sz w:val="22"/>
              </w:rPr>
              <w:t>107.2</w:t>
            </w:r>
          </w:p>
        </w:tc>
        <w:tc>
          <w:tcPr>
            <w:tcW w:type="dxa" w:w="2160"/>
          </w:tcPr>
          <w:p>
            <w:r>
              <w:rPr>
                <w:rFonts w:ascii="Calibri" w:hAnsi="Calibri"/>
                <w:sz w:val="22"/>
              </w:rPr>
              <w:t>93.0</w:t>
            </w:r>
          </w:p>
        </w:tc>
        <w:tc>
          <w:tcPr>
            <w:tcW w:type="dxa" w:w="2160"/>
          </w:tcPr>
          <w:p>
            <w:r>
              <w:rPr>
                <w:rFonts w:ascii="Calibri" w:hAnsi="Calibri"/>
                <w:sz w:val="22"/>
              </w:rPr>
              <w:t>103.9</w:t>
            </w:r>
          </w:p>
        </w:tc>
      </w:tr>
    </w:tbl>
    <w:p>
      <w:r>
        <w:rPr>
          <w:rFonts w:ascii="Calibri" w:hAnsi="Calibri"/>
          <w:b/>
          <w:color w:val="525866"/>
          <w:sz w:val="22"/>
        </w:rPr>
        <w:t xml:space="preserve">Note: </w:t>
      </w:r>
      <w:r>
        <w:rPr>
          <w:rFonts w:ascii="Calibri" w:hAnsi="Calibri"/>
          <w:i/>
          <w:color w:val="525866"/>
          <w:sz w:val="22"/>
        </w:rPr>
        <w:t>XLC is the SPDR Communication Services Select Sector ETF, used as the broad sector proxy. OMC is classified in the Communication Services sector. Indexed to 100 at April 28, 2026 close (OMC: $76.88; XLC: $115.75; SPY: $711.69). Latest data point is July 28, 2026 (OMC: $82.41; XLC: $107.66; SPY: $739.09). Source: Stock Price Data.</w:t>
      </w:r>
    </w:p>
    <w:p>
      <w:r>
        <w:rPr>
          <w:rFonts w:ascii="Calibri" w:hAnsi="Calibri"/>
          <w:b/>
          <w:color w:val="525866"/>
          <w:sz w:val="22"/>
        </w:rPr>
        <w:t xml:space="preserve">Performance Summary (Apr 28 → Jul 28, 2026): </w:t>
      </w:r>
      <w:r>
        <w:rPr>
          <w:rFonts w:ascii="Calibri" w:hAnsi="Calibri"/>
          <w:color w:val="525866"/>
          <w:sz w:val="22"/>
        </w:rPr>
        <w:t>OMC +7.2% | XLC -6.9% | SPY +3.9%</w:t>
      </w:r>
    </w:p>
    <w:p>
      <w:r>
        <w:rPr>
          <w:rFonts w:ascii="Calibri" w:hAnsi="Calibri"/>
          <w:b/>
          <w:color w:val="525866"/>
          <w:sz w:val="22"/>
        </w:rPr>
        <w:t>Key Observations:</w:t>
      </w:r>
    </w:p>
    <w:p>
      <w:pPr>
        <w:pStyle w:val="ListBullet"/>
        <w:ind w:left="360" w:hanging="360"/>
      </w:pPr>
      <w:r>
        <w:rPr>
          <w:rFonts w:ascii="Calibri" w:hAnsi="Calibri"/>
          <w:color w:val="525866"/>
          <w:sz w:val="22"/>
        </w:rPr>
        <w:t>OMC initially sold off ~8% in the two weeks post-Q1 earnings (through mid-May), likely reflecting investor digestion of the new Core Operations reporting framework and the downward revision to disposed-business margins.</w:t>
      </w:r>
    </w:p>
    <w:p>
      <w:pPr>
        <w:pStyle w:val="ListBullet"/>
        <w:ind w:left="360" w:hanging="360"/>
      </w:pPr>
      <w:r>
        <w:rPr>
          <w:rFonts w:ascii="Calibri" w:hAnsi="Calibri"/>
          <w:color w:val="525866"/>
          <w:sz w:val="22"/>
        </w:rPr>
        <w:t>The stock bottomed around $70–71 in mid-May and staged a strong recovery through early July, reaching a high of ~$84 on July 16, driven by growing confidence in synergy execution and the buyback program.</w:t>
      </w:r>
    </w:p>
    <w:p>
      <w:pPr>
        <w:pStyle w:val="ListBullet"/>
        <w:ind w:left="360" w:hanging="360"/>
      </w:pPr>
      <w:r>
        <w:rPr>
          <w:rFonts w:ascii="Calibri" w:hAnsi="Calibri"/>
          <w:color w:val="525866"/>
          <w:sz w:val="22"/>
        </w:rPr>
        <w:t>XLC has been a significant underperformer over the period (-6.9%), dragged by NFLX (-~40% YTD), GOOGL capex concerns, and CHTR subscriber losses — none of which are direct OMC read-throughs.</w:t>
      </w:r>
    </w:p>
    <w:p>
      <w:pPr>
        <w:pStyle w:val="ListBullet"/>
        <w:ind w:left="360" w:hanging="360"/>
      </w:pPr>
      <w:r>
        <w:rPr>
          <w:rFonts w:ascii="Calibri" w:hAnsi="Calibri"/>
          <w:color w:val="525866"/>
          <w:sz w:val="22"/>
        </w:rPr>
        <w:t>The 1-month performance (+12.3%) is almost entirely multiple expansion (+5.3% on EV/EBITDA), not estimate revisions, suggesting the re-rating is sentiment/confidence driven and could be fragile if Q2 disappoints.</w:t>
      </w:r>
    </w:p>
    <w:p>
      <w:pPr>
        <w:pStyle w:val="ListBullet"/>
        <w:ind w:left="360" w:hanging="360"/>
      </w:pPr>
      <w:r>
        <w:rPr>
          <w:rFonts w:ascii="Calibri" w:hAnsi="Calibri"/>
          <w:color w:val="525866"/>
          <w:sz w:val="22"/>
        </w:rPr>
        <w:t>NTM P/E of 6.9x vs. historical mid-teens: the discount remains extreme, implying the market is still pricing in meaningful integration risk or structural growth concerns.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for OMC is the Publicis Q2 2026 earnings beat and guidance raise (July 16), which provides a direct positive read-through for the advertising sector's Q2 demand environment. No OMC-specific negative catalysts have emerged since April 28.</w:t>
      </w:r>
    </w:p>
    <w:p>
      <w:pPr>
        <w:pStyle w:val="ListBullet"/>
        <w:ind w:left="360" w:hanging="360"/>
      </w:pPr>
      <w:r>
        <w:rPr>
          <w:rFonts w:ascii="Calibri" w:hAnsi="Calibri"/>
          <w:color w:val="525866"/>
          <w:sz w:val="22"/>
        </w:rPr>
        <w:t>July 16, 2026 — Publicis Groupe Q2 2026 Earnings Beat &amp; Guidance Raise (</w:t>
      </w:r>
      <w:r>
        <w:rPr>
          <w:rFonts w:ascii="Calibri" w:hAnsi="Calibri"/>
          <w:b/>
          <w:color w:val="525866"/>
          <w:sz w:val="22"/>
        </w:rPr>
        <w:t>Positive Read-Through</w:t>
      </w:r>
      <w:r>
        <w:rPr>
          <w:rFonts w:ascii="Calibri" w:hAnsi="Calibri"/>
          <w:color w:val="525866"/>
          <w:sz w:val="22"/>
        </w:rPr>
        <w:t>): Publicis reported Q2 organic growth of +4.8% (vs. +4.5% in Q1), raised FY 2026 organic growth guidance to 4.5–5.0% (from 4–5%), and confirmed strong connected media demand. US organic growth was +5.5%. This is the most direct and timely peer read-through for OMC's Q2 setup. See Peer Commentary section for full detail.</w:t>
      </w:r>
    </w:p>
    <w:p>
      <w:pPr>
        <w:pStyle w:val="ListBullet"/>
        <w:ind w:left="360" w:hanging="360"/>
      </w:pPr>
      <w:r>
        <w:rPr>
          <w:rFonts w:ascii="Calibri" w:hAnsi="Calibri"/>
          <w:color w:val="525866"/>
          <w:sz w:val="22"/>
        </w:rPr>
        <w:t>July 7, 2026 — OMC Schedules Q2 Earnings Release &amp; Conference Call: Omnicom announced Q2 results will be released July 28 after market close, with the conference call at 4:30 PM ET. Routine scheduling announcement; no guidance update or pre-announcement.</w:t>
      </w:r>
    </w:p>
    <w:p>
      <w:pPr>
        <w:pStyle w:val="ListBullet"/>
        <w:ind w:left="360" w:hanging="360"/>
      </w:pPr>
      <w:r>
        <w:rPr>
          <w:rFonts w:ascii="Calibri" w:hAnsi="Calibri"/>
          <w:color w:val="525866"/>
          <w:sz w:val="22"/>
        </w:rPr>
        <w:t>May 13, 2026 — OMC Presents at J.P. Morgan Global TMC Conference: Omnicom management presented at the J.P. Morgan Global Technology, Media and Communications Conference. No material guidance revision was disclosed in the associated press release; management reiterated integration progress and strategic positioning.</w:t>
      </w:r>
    </w:p>
    <w:p>
      <w:pPr>
        <w:pStyle w:val="ListBullet"/>
        <w:ind w:left="360" w:hanging="360"/>
      </w:pPr>
      <w:r>
        <w:rPr>
          <w:rFonts w:ascii="Calibri" w:hAnsi="Calibri"/>
          <w:color w:val="525866"/>
          <w:sz w:val="22"/>
        </w:rPr>
        <w:t>May 17, 2026 — Publicis Acquires LiveRamp (</w:t>
      </w:r>
      <w:r>
        <w:rPr>
          <w:rFonts w:ascii="Calibri" w:hAnsi="Calibri"/>
          <w:b/>
          <w:color w:val="525866"/>
          <w:sz w:val="22"/>
        </w:rPr>
        <w:t>Competitive Risk / Identity Strategy Catalyst</w:t>
      </w:r>
      <w:r>
        <w:rPr>
          <w:rFonts w:ascii="Calibri" w:hAnsi="Calibri"/>
          <w:color w:val="525866"/>
          <w:sz w:val="22"/>
        </w:rPr>
        <w:t>): Publicis announced the acquisition of LiveRamp, a former Acxiom sister company and current OMC vendor. CEO John Wren accelerated OMC's planned separation from LiveRamp to approximately one year (from a 2028 target), citing competitive sensitivity. OMC's mutual contract with LiveRamp runs through Q1 2028. Management is leaning into Acxiom's Real ID as the independent replacement. Near-term operational disruption is limited, but this is a watch item for identity infrastructure strategy commentary on the Q2 call.</w:t>
      </w:r>
    </w:p>
    <w:p>
      <w:pPr>
        <w:pStyle w:val="ListBullet"/>
        <w:ind w:left="360" w:hanging="360"/>
      </w:pPr>
      <w:r>
        <w:rPr>
          <w:rFonts w:ascii="Calibri" w:hAnsi="Calibri"/>
          <w:color w:val="525866"/>
          <w:sz w:val="22"/>
        </w:rPr>
        <w:t>May 8, 2026 — OMC Annual Meeting: Shareholders elected directors and approved executive compensation. No material business developments.</w:t>
      </w:r>
    </w:p>
    <w:p>
      <w:pPr>
        <w:pStyle w:val="ListBullet"/>
        <w:ind w:left="360" w:hanging="360"/>
      </w:pPr>
      <w:r>
        <w:rPr>
          <w:rFonts w:ascii="Calibri" w:hAnsi="Calibri"/>
          <w:color w:val="525866"/>
          <w:sz w:val="22"/>
        </w:rPr>
        <w:t>July 22–24, 2026 — Alphabet (GOOGL) Q2 2026 Earnings (</w:t>
      </w:r>
      <w:r>
        <w:rPr>
          <w:rFonts w:ascii="Calibri" w:hAnsi="Calibri"/>
          <w:b/>
          <w:color w:val="525866"/>
          <w:sz w:val="22"/>
        </w:rPr>
        <w:t>Mixed Read-Through</w:t>
      </w:r>
      <w:r>
        <w:rPr>
          <w:rFonts w:ascii="Calibri" w:hAnsi="Calibri"/>
          <w:color w:val="525866"/>
          <w:sz w:val="22"/>
        </w:rPr>
        <w:t>): Google reported 24% revenue growth and 82% Google Cloud growth, but raised FY 2026 capex guidance to $195–205B and reported negative free cash flow for the first time. Search revenue grew ~17% but slightly missed estimates. AI Overviews now appear in 43% of searches (up from 15% a year ago). For OMC, the key read-through is that digital advertising demand (search, YouTube) remains robust, but the AI-driven shift in search behavior is a long-term structural watch item for ad agency relevance.</w:t>
      </w:r>
    </w:p>
    <w:p>
      <w:pPr>
        <w:pStyle w:val="ListBullet"/>
        <w:ind w:left="360" w:hanging="360"/>
      </w:pPr>
      <w:r>
        <w:rPr>
          <w:rFonts w:ascii="Calibri" w:hAnsi="Calibri"/>
          <w:color w:val="525866"/>
          <w:sz w:val="22"/>
        </w:rPr>
        <w:t>July 23, 2026 — Comcast (CMCSA) Q2 2026 Earnings (</w:t>
      </w:r>
      <w:r>
        <w:rPr>
          <w:rFonts w:ascii="Calibri" w:hAnsi="Calibri"/>
          <w:b/>
          <w:color w:val="525866"/>
          <w:sz w:val="22"/>
        </w:rPr>
        <w:t>Modest Positive Read-Through</w:t>
      </w:r>
      <w:r>
        <w:rPr>
          <w:rFonts w:ascii="Calibri" w:hAnsi="Calibri"/>
          <w:color w:val="525866"/>
          <w:sz w:val="22"/>
        </w:rPr>
        <w:t>): Comcast reported pro forma revenue of $29.56B (+4.7%), EBITDA of $8.92B (vs. $8.84B est.), and strong FCF of $4.6B (~$1B above plan). Peacock reached profitability for the first time. NBCUniversal content &amp; experiences revenue rose ~23% YoY. Positive for OMC as a signal of healthy media ecosystem spending.</w:t>
      </w:r>
    </w:p>
    <w:p>
      <w:pPr>
        <w:pStyle w:val="ListBullet"/>
        <w:ind w:left="360" w:hanging="360"/>
      </w:pPr>
      <w:r>
        <w:rPr>
          <w:rFonts w:ascii="Calibri" w:hAnsi="Calibri"/>
          <w:color w:val="525866"/>
          <w:sz w:val="22"/>
        </w:rPr>
        <w:t>July 16–17, 2026 — Netflix (NFLX) Q2 2026 Earnings (</w:t>
      </w:r>
      <w:r>
        <w:rPr>
          <w:rFonts w:ascii="Calibri" w:hAnsi="Calibri"/>
          <w:b/>
          <w:color w:val="525866"/>
          <w:sz w:val="22"/>
        </w:rPr>
        <w:t>Neutral / Slight Negative Read-Through</w:t>
      </w:r>
      <w:r>
        <w:rPr>
          <w:rFonts w:ascii="Calibri" w:hAnsi="Calibri"/>
          <w:color w:val="525866"/>
          <w:sz w:val="22"/>
        </w:rPr>
        <w:t>): Netflix reported Q2 EPS of $0.80 (slight beat) but guided Q3 revenue growth of only 11.7% — the slowest since late 2023 — and announced it would reduce engagement reporting frequency. Stock fell ~8–11%. Limited direct read-through for OMC (Netflix is not a major ad-supported platform), but signals streaming engagement headwinds that could affect digital video ad budgets at the margin.</w:t>
      </w:r>
    </w:p>
    <w:p>
      <w:pPr>
        <w:pStyle w:val="ListBullet"/>
        <w:ind w:left="360" w:hanging="360"/>
      </w:pPr>
      <w:r>
        <w:rPr>
          <w:rFonts w:ascii="Calibri" w:hAnsi="Calibri"/>
          <w:color w:val="525866"/>
          <w:sz w:val="22"/>
        </w:rPr>
        <w:t>March 12, 2026 — OMC Investor Day (</w:t>
      </w:r>
      <w:r>
        <w:rPr>
          <w:rFonts w:ascii="Calibri" w:hAnsi="Calibri"/>
          <w:b/>
          <w:color w:val="525866"/>
          <w:sz w:val="22"/>
        </w:rPr>
        <w:t>Key Reference Point</w:t>
      </w:r>
      <w:r>
        <w:rPr>
          <w:rFonts w:ascii="Calibri" w:hAnsi="Calibri"/>
          <w:color w:val="525866"/>
          <w:sz w:val="22"/>
        </w:rPr>
        <w:t>): Omnicom hosted its first post-IPG Investor Day, confirming $1.5B synergy target by mid-2028 ($900M in 2026), ~4% FY 2026 organic growth on $23.1B adjusted revenue base, double-digit EPS growth, and $3–3.5B in 2026 share repurchases. This remains the foundational guidance framework for Q2 and beyond.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buys or sells by OMC insiders since the Q1 earnings date (April 28, 2026). All Form 4 activity consists of routine non-cash compensation events (share grants, RSU awards, director retainer deferrals). The absence of discretionary selling is a mild positive signal, though the absence of open-market buying is also notable given the stock's depressed valuation.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Louis F. Januzzi</w:t>
            </w:r>
          </w:p>
        </w:tc>
        <w:tc>
          <w:tcPr>
            <w:tcW w:type="dxa" w:w="1440"/>
          </w:tcPr>
          <w:p>
            <w:r>
              <w:rPr>
                <w:rFonts w:ascii="Calibri" w:hAnsi="Calibri"/>
                <w:sz w:val="22"/>
              </w:rPr>
              <w:t>SVP, General Counsel &amp; Secretary</w:t>
            </w:r>
          </w:p>
        </w:tc>
        <w:tc>
          <w:tcPr>
            <w:tcW w:type="dxa" w:w="1440"/>
          </w:tcPr>
          <w:p>
            <w:r>
              <w:rPr>
                <w:rFonts w:ascii="Calibri" w:hAnsi="Calibri"/>
                <w:sz w:val="22"/>
              </w:rPr>
              <w:t>RSU Grant (Code A)</w:t>
            </w:r>
          </w:p>
        </w:tc>
        <w:tc>
          <w:tcPr>
            <w:tcW w:type="dxa" w:w="1440"/>
          </w:tcPr>
          <w:p>
            <w:r>
              <w:rPr>
                <w:rFonts w:ascii="Calibri" w:hAnsi="Calibri"/>
                <w:sz w:val="22"/>
              </w:rPr>
              <w:t>7,720</w:t>
            </w:r>
          </w:p>
        </w:tc>
        <w:tc>
          <w:tcPr>
            <w:tcW w:type="dxa" w:w="1440"/>
          </w:tcPr>
          <w:p>
            <w:r>
              <w:rPr>
                <w:rFonts w:ascii="Calibri" w:hAnsi="Calibri"/>
                <w:sz w:val="22"/>
              </w:rPr>
              <w:t>Jul 16, 2026</w:t>
            </w:r>
          </w:p>
        </w:tc>
        <w:tc>
          <w:tcPr>
            <w:tcW w:type="dxa" w:w="1440"/>
          </w:tcPr>
          <w:p>
            <w:r>
              <w:rPr>
                <w:rFonts w:ascii="Calibri" w:hAnsi="Calibri"/>
                <w:sz w:val="22"/>
              </w:rPr>
              <w:t>Restricted stock units; vest 20% on Aug 15, 2027 and each of next 4 anniversaries. Non-discretionary compensation grant.</w:t>
            </w:r>
          </w:p>
        </w:tc>
      </w:tr>
      <w:tr>
        <w:tc>
          <w:tcPr>
            <w:tcW w:type="dxa" w:w="1440"/>
          </w:tcPr>
          <w:p>
            <w:r>
              <w:rPr>
                <w:rFonts w:ascii="Calibri" w:hAnsi="Calibri"/>
                <w:sz w:val="22"/>
              </w:rPr>
              <w:t>Gracia C. Martore</w:t>
            </w:r>
          </w:p>
        </w:tc>
        <w:tc>
          <w:tcPr>
            <w:tcW w:type="dxa" w:w="1440"/>
          </w:tcPr>
          <w:p>
            <w:r>
              <w:rPr>
                <w:rFonts w:ascii="Calibri" w:hAnsi="Calibri"/>
                <w:sz w:val="22"/>
              </w:rPr>
              <w:t>Director</w:t>
            </w:r>
          </w:p>
        </w:tc>
        <w:tc>
          <w:tcPr>
            <w:tcW w:type="dxa" w:w="1440"/>
          </w:tcPr>
          <w:p>
            <w:r>
              <w:rPr>
                <w:rFonts w:ascii="Calibri" w:hAnsi="Calibri"/>
                <w:sz w:val="22"/>
              </w:rPr>
              <w:t>Director Retainer Deferral (Code A)</w:t>
            </w:r>
          </w:p>
        </w:tc>
        <w:tc>
          <w:tcPr>
            <w:tcW w:type="dxa" w:w="1440"/>
          </w:tcPr>
          <w:p>
            <w:r>
              <w:rPr>
                <w:rFonts w:ascii="Calibri" w:hAnsi="Calibri"/>
                <w:sz w:val="22"/>
              </w:rPr>
              <w:t>703.69</w:t>
            </w:r>
          </w:p>
        </w:tc>
        <w:tc>
          <w:tcPr>
            <w:tcW w:type="dxa" w:w="1440"/>
          </w:tcPr>
          <w:p>
            <w:r>
              <w:rPr>
                <w:rFonts w:ascii="Calibri" w:hAnsi="Calibri"/>
                <w:sz w:val="22"/>
              </w:rPr>
              <w:t>Jul 1, 2026</w:t>
            </w:r>
          </w:p>
        </w:tc>
        <w:tc>
          <w:tcPr>
            <w:tcW w:type="dxa" w:w="1440"/>
          </w:tcPr>
          <w:p>
            <w:r>
              <w:rPr>
                <w:rFonts w:ascii="Calibri" w:hAnsi="Calibri"/>
                <w:sz w:val="22"/>
              </w:rPr>
              <w:t>Elected to defer receipt under 2026 Incentive Award Plan. Routine annual retainer deferral.</w:t>
            </w:r>
          </w:p>
        </w:tc>
      </w:tr>
      <w:tr>
        <w:tc>
          <w:tcPr>
            <w:tcW w:type="dxa" w:w="1440"/>
          </w:tcPr>
          <w:p>
            <w:r>
              <w:rPr>
                <w:rFonts w:ascii="Calibri" w:hAnsi="Calibri"/>
                <w:sz w:val="22"/>
              </w:rPr>
              <w:t>Cassandra Santos</w:t>
            </w:r>
          </w:p>
        </w:tc>
        <w:tc>
          <w:tcPr>
            <w:tcW w:type="dxa" w:w="1440"/>
          </w:tcPr>
          <w:p>
            <w:r>
              <w:rPr>
                <w:rFonts w:ascii="Calibri" w:hAnsi="Calibri"/>
                <w:sz w:val="22"/>
              </w:rPr>
              <w:t>Director</w:t>
            </w:r>
          </w:p>
        </w:tc>
        <w:tc>
          <w:tcPr>
            <w:tcW w:type="dxa" w:w="1440"/>
          </w:tcPr>
          <w:p>
            <w:r>
              <w:rPr>
                <w:rFonts w:ascii="Calibri" w:hAnsi="Calibri"/>
                <w:sz w:val="22"/>
              </w:rPr>
              <w:t>Director Retainer Deferral (Code A)</w:t>
            </w:r>
          </w:p>
        </w:tc>
        <w:tc>
          <w:tcPr>
            <w:tcW w:type="dxa" w:w="1440"/>
          </w:tcPr>
          <w:p>
            <w:r>
              <w:rPr>
                <w:rFonts w:ascii="Calibri" w:hAnsi="Calibri"/>
                <w:sz w:val="22"/>
              </w:rPr>
              <w:t>703.69</w:t>
            </w:r>
          </w:p>
        </w:tc>
        <w:tc>
          <w:tcPr>
            <w:tcW w:type="dxa" w:w="1440"/>
          </w:tcPr>
          <w:p>
            <w:r>
              <w:rPr>
                <w:rFonts w:ascii="Calibri" w:hAnsi="Calibri"/>
                <w:sz w:val="22"/>
              </w:rPr>
              <w:t>Jul 1, 2026</w:t>
            </w:r>
          </w:p>
        </w:tc>
        <w:tc>
          <w:tcPr>
            <w:tcW w:type="dxa" w:w="1440"/>
          </w:tcPr>
          <w:p>
            <w:r>
              <w:rPr>
                <w:rFonts w:ascii="Calibri" w:hAnsi="Calibri"/>
                <w:sz w:val="22"/>
              </w:rPr>
              <w:t>Elected to defer receipt under 2026 Incentive Award Plan. Routine.</w:t>
            </w:r>
          </w:p>
        </w:tc>
      </w:tr>
      <w:tr>
        <w:tc>
          <w:tcPr>
            <w:tcW w:type="dxa" w:w="1440"/>
          </w:tcPr>
          <w:p>
            <w:r>
              <w:rPr>
                <w:rFonts w:ascii="Calibri" w:hAnsi="Calibri"/>
                <w:sz w:val="22"/>
              </w:rPr>
              <w:t>Ronnie S. Hawkins</w:t>
            </w:r>
          </w:p>
        </w:tc>
        <w:tc>
          <w:tcPr>
            <w:tcW w:type="dxa" w:w="1440"/>
          </w:tcPr>
          <w:p>
            <w:r>
              <w:rPr>
                <w:rFonts w:ascii="Calibri" w:hAnsi="Calibri"/>
                <w:sz w:val="22"/>
              </w:rPr>
              <w:t>Director</w:t>
            </w:r>
          </w:p>
        </w:tc>
        <w:tc>
          <w:tcPr>
            <w:tcW w:type="dxa" w:w="1440"/>
          </w:tcPr>
          <w:p>
            <w:r>
              <w:rPr>
                <w:rFonts w:ascii="Calibri" w:hAnsi="Calibri"/>
                <w:sz w:val="22"/>
              </w:rPr>
              <w:t>Director Retainer Deferral (Code A)</w:t>
            </w:r>
          </w:p>
        </w:tc>
        <w:tc>
          <w:tcPr>
            <w:tcW w:type="dxa" w:w="1440"/>
          </w:tcPr>
          <w:p>
            <w:r>
              <w:rPr>
                <w:rFonts w:ascii="Calibri" w:hAnsi="Calibri"/>
                <w:sz w:val="22"/>
              </w:rPr>
              <w:t>703.69</w:t>
            </w:r>
          </w:p>
        </w:tc>
        <w:tc>
          <w:tcPr>
            <w:tcW w:type="dxa" w:w="1440"/>
          </w:tcPr>
          <w:p>
            <w:r>
              <w:rPr>
                <w:rFonts w:ascii="Calibri" w:hAnsi="Calibri"/>
                <w:sz w:val="22"/>
              </w:rPr>
              <w:t>Jul 1, 2026</w:t>
            </w:r>
          </w:p>
        </w:tc>
        <w:tc>
          <w:tcPr>
            <w:tcW w:type="dxa" w:w="1440"/>
          </w:tcPr>
          <w:p>
            <w:r>
              <w:rPr>
                <w:rFonts w:ascii="Calibri" w:hAnsi="Calibri"/>
                <w:sz w:val="22"/>
              </w:rPr>
              <w:t>Includes reinvested dividends on deferred shares (credited Apr 9, 2026). Routine.</w:t>
            </w:r>
          </w:p>
        </w:tc>
      </w:tr>
      <w:tr>
        <w:tc>
          <w:tcPr>
            <w:tcW w:type="dxa" w:w="1440"/>
          </w:tcPr>
          <w:p>
            <w:r>
              <w:rPr>
                <w:rFonts w:ascii="Calibri" w:hAnsi="Calibri"/>
                <w:sz w:val="22"/>
              </w:rPr>
              <w:t>Deborah J. Kissire</w:t>
            </w:r>
          </w:p>
        </w:tc>
        <w:tc>
          <w:tcPr>
            <w:tcW w:type="dxa" w:w="1440"/>
          </w:tcPr>
          <w:p>
            <w:r>
              <w:rPr>
                <w:rFonts w:ascii="Calibri" w:hAnsi="Calibri"/>
                <w:sz w:val="22"/>
              </w:rPr>
              <w:t>Director</w:t>
            </w:r>
          </w:p>
        </w:tc>
        <w:tc>
          <w:tcPr>
            <w:tcW w:type="dxa" w:w="1440"/>
          </w:tcPr>
          <w:p>
            <w:r>
              <w:rPr>
                <w:rFonts w:ascii="Calibri" w:hAnsi="Calibri"/>
                <w:sz w:val="22"/>
              </w:rPr>
              <w:t>Director Retainer Deferral (Code A)</w:t>
            </w:r>
          </w:p>
        </w:tc>
        <w:tc>
          <w:tcPr>
            <w:tcW w:type="dxa" w:w="1440"/>
          </w:tcPr>
          <w:p>
            <w:r>
              <w:rPr>
                <w:rFonts w:ascii="Calibri" w:hAnsi="Calibri"/>
                <w:sz w:val="22"/>
              </w:rPr>
              <w:t>703.69</w:t>
            </w:r>
          </w:p>
        </w:tc>
        <w:tc>
          <w:tcPr>
            <w:tcW w:type="dxa" w:w="1440"/>
          </w:tcPr>
          <w:p>
            <w:r>
              <w:rPr>
                <w:rFonts w:ascii="Calibri" w:hAnsi="Calibri"/>
                <w:sz w:val="22"/>
              </w:rPr>
              <w:t>Jul 1, 2026</w:t>
            </w:r>
          </w:p>
        </w:tc>
        <w:tc>
          <w:tcPr>
            <w:tcW w:type="dxa" w:w="1440"/>
          </w:tcPr>
          <w:p>
            <w:r>
              <w:rPr>
                <w:rFonts w:ascii="Calibri" w:hAnsi="Calibri"/>
                <w:sz w:val="22"/>
              </w:rPr>
              <w:t>Elected to defer receipt under 2026 Incentive Award Plan. Routine.</w:t>
            </w:r>
          </w:p>
        </w:tc>
      </w:tr>
      <w:tr>
        <w:tc>
          <w:tcPr>
            <w:tcW w:type="dxa" w:w="1440"/>
          </w:tcPr>
          <w:p>
            <w:r>
              <w:rPr>
                <w:rFonts w:ascii="Calibri" w:hAnsi="Calibri"/>
                <w:sz w:val="22"/>
              </w:rPr>
              <w:t>Leonard S. Coleman, Jr.</w:t>
            </w:r>
          </w:p>
        </w:tc>
        <w:tc>
          <w:tcPr>
            <w:tcW w:type="dxa" w:w="1440"/>
          </w:tcPr>
          <w:p>
            <w:r>
              <w:rPr>
                <w:rFonts w:ascii="Calibri" w:hAnsi="Calibri"/>
                <w:sz w:val="22"/>
              </w:rPr>
              <w:t>Director</w:t>
            </w:r>
          </w:p>
        </w:tc>
        <w:tc>
          <w:tcPr>
            <w:tcW w:type="dxa" w:w="1440"/>
          </w:tcPr>
          <w:p>
            <w:r>
              <w:rPr>
                <w:rFonts w:ascii="Calibri" w:hAnsi="Calibri"/>
                <w:sz w:val="22"/>
              </w:rPr>
              <w:t>Director Retainer Deferral (Code A)</w:t>
            </w:r>
          </w:p>
        </w:tc>
        <w:tc>
          <w:tcPr>
            <w:tcW w:type="dxa" w:w="1440"/>
          </w:tcPr>
          <w:p>
            <w:r>
              <w:rPr>
                <w:rFonts w:ascii="Calibri" w:hAnsi="Calibri"/>
                <w:sz w:val="22"/>
              </w:rPr>
              <w:t>703.69</w:t>
            </w:r>
          </w:p>
        </w:tc>
        <w:tc>
          <w:tcPr>
            <w:tcW w:type="dxa" w:w="1440"/>
          </w:tcPr>
          <w:p>
            <w:r>
              <w:rPr>
                <w:rFonts w:ascii="Calibri" w:hAnsi="Calibri"/>
                <w:sz w:val="22"/>
              </w:rPr>
              <w:t>Jul 1, 2026</w:t>
            </w:r>
          </w:p>
        </w:tc>
        <w:tc>
          <w:tcPr>
            <w:tcW w:type="dxa" w:w="1440"/>
          </w:tcPr>
          <w:p>
            <w:r>
              <w:rPr>
                <w:rFonts w:ascii="Calibri" w:hAnsi="Calibri"/>
                <w:sz w:val="22"/>
              </w:rPr>
              <w:t>Includes reinvested dividends on deferred shares (credited Apr 9, 2026). Routine.</w:t>
            </w:r>
          </w:p>
        </w:tc>
      </w:tr>
      <w:tr>
        <w:tc>
          <w:tcPr>
            <w:tcW w:type="dxa" w:w="1440"/>
          </w:tcPr>
          <w:p>
            <w:r>
              <w:rPr>
                <w:rFonts w:ascii="Calibri" w:hAnsi="Calibri"/>
                <w:sz w:val="22"/>
              </w:rPr>
              <w:t>Mark D. Gerstein</w:t>
            </w:r>
          </w:p>
        </w:tc>
        <w:tc>
          <w:tcPr>
            <w:tcW w:type="dxa" w:w="1440"/>
          </w:tcPr>
          <w:p>
            <w:r>
              <w:rPr>
                <w:rFonts w:ascii="Calibri" w:hAnsi="Calibri"/>
                <w:sz w:val="22"/>
              </w:rPr>
              <w:t>Director</w:t>
            </w:r>
          </w:p>
        </w:tc>
        <w:tc>
          <w:tcPr>
            <w:tcW w:type="dxa" w:w="1440"/>
          </w:tcPr>
          <w:p>
            <w:r>
              <w:rPr>
                <w:rFonts w:ascii="Calibri" w:hAnsi="Calibri"/>
                <w:sz w:val="22"/>
              </w:rPr>
              <w:t>Director Retainer Deferral (Code A)</w:t>
            </w:r>
          </w:p>
        </w:tc>
        <w:tc>
          <w:tcPr>
            <w:tcW w:type="dxa" w:w="1440"/>
          </w:tcPr>
          <w:p>
            <w:r>
              <w:rPr>
                <w:rFonts w:ascii="Calibri" w:hAnsi="Calibri"/>
                <w:sz w:val="22"/>
              </w:rPr>
              <w:t>703.69 + 308.94</w:t>
            </w:r>
          </w:p>
        </w:tc>
        <w:tc>
          <w:tcPr>
            <w:tcW w:type="dxa" w:w="1440"/>
          </w:tcPr>
          <w:p>
            <w:r>
              <w:rPr>
                <w:rFonts w:ascii="Calibri" w:hAnsi="Calibri"/>
                <w:sz w:val="22"/>
              </w:rPr>
              <w:t>Jul 1, 2026</w:t>
            </w:r>
          </w:p>
        </w:tc>
        <w:tc>
          <w:tcPr>
            <w:tcW w:type="dxa" w:w="1440"/>
          </w:tcPr>
          <w:p>
            <w:r>
              <w:rPr>
                <w:rFonts w:ascii="Calibri" w:hAnsi="Calibri"/>
                <w:sz w:val="22"/>
              </w:rPr>
              <w:t>Includes quarterly retainer deferral (308.94 shares) and annual retainer deferral (703.69 shares). Routine.</w:t>
            </w:r>
          </w:p>
        </w:tc>
      </w:tr>
      <w:tr>
        <w:tc>
          <w:tcPr>
            <w:tcW w:type="dxa" w:w="1440"/>
          </w:tcPr>
          <w:p>
            <w:r>
              <w:rPr>
                <w:rFonts w:ascii="Calibri" w:hAnsi="Calibri"/>
                <w:sz w:val="22"/>
              </w:rPr>
              <w:t>E. Lee Wyatt</w:t>
            </w:r>
          </w:p>
        </w:tc>
        <w:tc>
          <w:tcPr>
            <w:tcW w:type="dxa" w:w="1440"/>
          </w:tcPr>
          <w:p>
            <w:r>
              <w:rPr>
                <w:rFonts w:ascii="Calibri" w:hAnsi="Calibri"/>
                <w:sz w:val="22"/>
              </w:rPr>
              <w:t>Director</w:t>
            </w:r>
          </w:p>
        </w:tc>
        <w:tc>
          <w:tcPr>
            <w:tcW w:type="dxa" w:w="1440"/>
          </w:tcPr>
          <w:p>
            <w:r>
              <w:rPr>
                <w:rFonts w:ascii="Calibri" w:hAnsi="Calibri"/>
                <w:sz w:val="22"/>
              </w:rPr>
              <w:t>Director Grant (Code A)</w:t>
            </w:r>
          </w:p>
        </w:tc>
        <w:tc>
          <w:tcPr>
            <w:tcW w:type="dxa" w:w="1440"/>
          </w:tcPr>
          <w:p>
            <w:r>
              <w:rPr>
                <w:rFonts w:ascii="Calibri" w:hAnsi="Calibri"/>
                <w:sz w:val="22"/>
              </w:rPr>
              <w:t>704</w:t>
            </w:r>
          </w:p>
        </w:tc>
        <w:tc>
          <w:tcPr>
            <w:tcW w:type="dxa" w:w="1440"/>
          </w:tcPr>
          <w:p>
            <w:r>
              <w:rPr>
                <w:rFonts w:ascii="Calibri" w:hAnsi="Calibri"/>
                <w:sz w:val="22"/>
              </w:rPr>
              <w:t>Jul 1, 2026</w:t>
            </w:r>
          </w:p>
        </w:tc>
        <w:tc>
          <w:tcPr>
            <w:tcW w:type="dxa" w:w="1440"/>
          </w:tcPr>
          <w:p>
            <w:r>
              <w:rPr>
                <w:rFonts w:ascii="Calibri" w:hAnsi="Calibri"/>
                <w:sz w:val="22"/>
              </w:rPr>
              <w:t>Annual director equity grant. Routine.</w:t>
            </w:r>
          </w:p>
        </w:tc>
      </w:tr>
      <w:tr>
        <w:tc>
          <w:tcPr>
            <w:tcW w:type="dxa" w:w="1440"/>
          </w:tcPr>
          <w:p>
            <w:r>
              <w:rPr>
                <w:rFonts w:ascii="Calibri" w:hAnsi="Calibri"/>
                <w:sz w:val="22"/>
              </w:rPr>
              <w:t>Linda Johnson Rice</w:t>
            </w:r>
          </w:p>
        </w:tc>
        <w:tc>
          <w:tcPr>
            <w:tcW w:type="dxa" w:w="1440"/>
          </w:tcPr>
          <w:p>
            <w:r>
              <w:rPr>
                <w:rFonts w:ascii="Calibri" w:hAnsi="Calibri"/>
                <w:sz w:val="22"/>
              </w:rPr>
              <w:t>Director</w:t>
            </w:r>
          </w:p>
        </w:tc>
        <w:tc>
          <w:tcPr>
            <w:tcW w:type="dxa" w:w="1440"/>
          </w:tcPr>
          <w:p>
            <w:r>
              <w:rPr>
                <w:rFonts w:ascii="Calibri" w:hAnsi="Calibri"/>
                <w:sz w:val="22"/>
              </w:rPr>
              <w:t>Director Grant (Code A)</w:t>
            </w:r>
          </w:p>
        </w:tc>
        <w:tc>
          <w:tcPr>
            <w:tcW w:type="dxa" w:w="1440"/>
          </w:tcPr>
          <w:p>
            <w:r>
              <w:rPr>
                <w:rFonts w:ascii="Calibri" w:hAnsi="Calibri"/>
                <w:sz w:val="22"/>
              </w:rPr>
              <w:t>704</w:t>
            </w:r>
          </w:p>
        </w:tc>
        <w:tc>
          <w:tcPr>
            <w:tcW w:type="dxa" w:w="1440"/>
          </w:tcPr>
          <w:p>
            <w:r>
              <w:rPr>
                <w:rFonts w:ascii="Calibri" w:hAnsi="Calibri"/>
                <w:sz w:val="22"/>
              </w:rPr>
              <w:t>Jul 1, 2026</w:t>
            </w:r>
          </w:p>
        </w:tc>
        <w:tc>
          <w:tcPr>
            <w:tcW w:type="dxa" w:w="1440"/>
          </w:tcPr>
          <w:p>
            <w:r>
              <w:rPr>
                <w:rFonts w:ascii="Calibri" w:hAnsi="Calibri"/>
                <w:sz w:val="22"/>
              </w:rPr>
              <w:t>Includes reinvested dividends on deferred shares (credited Apr 9, 2026). Routine.</w:t>
            </w:r>
          </w:p>
        </w:tc>
      </w:tr>
      <w:tr>
        <w:tc>
          <w:tcPr>
            <w:tcW w:type="dxa" w:w="1440"/>
          </w:tcPr>
          <w:p>
            <w:r>
              <w:rPr>
                <w:rFonts w:ascii="Calibri" w:hAnsi="Calibri"/>
                <w:sz w:val="22"/>
              </w:rPr>
              <w:t>Patrick Q. Moore</w:t>
            </w:r>
          </w:p>
        </w:tc>
        <w:tc>
          <w:tcPr>
            <w:tcW w:type="dxa" w:w="1440"/>
          </w:tcPr>
          <w:p>
            <w:r>
              <w:rPr>
                <w:rFonts w:ascii="Calibri" w:hAnsi="Calibri"/>
                <w:sz w:val="22"/>
              </w:rPr>
              <w:t>Director</w:t>
            </w:r>
          </w:p>
        </w:tc>
        <w:tc>
          <w:tcPr>
            <w:tcW w:type="dxa" w:w="1440"/>
          </w:tcPr>
          <w:p>
            <w:r>
              <w:rPr>
                <w:rFonts w:ascii="Calibri" w:hAnsi="Calibri"/>
                <w:sz w:val="22"/>
              </w:rPr>
              <w:t>Director Grant (Code A)</w:t>
            </w:r>
          </w:p>
        </w:tc>
        <w:tc>
          <w:tcPr>
            <w:tcW w:type="dxa" w:w="1440"/>
          </w:tcPr>
          <w:p>
            <w:r>
              <w:rPr>
                <w:rFonts w:ascii="Calibri" w:hAnsi="Calibri"/>
                <w:sz w:val="22"/>
              </w:rPr>
              <w:t>704</w:t>
            </w:r>
          </w:p>
        </w:tc>
        <w:tc>
          <w:tcPr>
            <w:tcW w:type="dxa" w:w="1440"/>
          </w:tcPr>
          <w:p>
            <w:r>
              <w:rPr>
                <w:rFonts w:ascii="Calibri" w:hAnsi="Calibri"/>
                <w:sz w:val="22"/>
              </w:rPr>
              <w:t>Jul 1, 2026</w:t>
            </w:r>
          </w:p>
        </w:tc>
        <w:tc>
          <w:tcPr>
            <w:tcW w:type="dxa" w:w="1440"/>
          </w:tcPr>
          <w:p>
            <w:r>
              <w:rPr>
                <w:rFonts w:ascii="Calibri" w:hAnsi="Calibri"/>
                <w:sz w:val="22"/>
              </w:rPr>
              <w:t>Annual director equity grant. Routine.</w:t>
            </w:r>
          </w:p>
        </w:tc>
      </w:tr>
    </w:tbl>
    <w:p>
      <w:r>
        <w:rPr>
          <w:rFonts w:ascii="Calibri" w:hAnsi="Calibri"/>
          <w:b/>
          <w:color w:val="525866"/>
          <w:sz w:val="22"/>
        </w:rPr>
        <w:t xml:space="preserve">Source: SEC Form 4 filings, April 28 – July 27, 2026. Open-market transaction codes P (purchase) and S (sale) only: </w:t>
      </w:r>
      <w:r>
        <w:rPr>
          <w:rFonts w:ascii="Calibri" w:hAnsi="Calibri"/>
          <w:i/>
          <w:color w:val="525866"/>
          <w:sz w:val="22"/>
        </w:rPr>
        <w:t>None found. All transactions are Code A (non-cash compensation awards, grants, or deferrals at $0 price). No 10b5-1 plan initiations or discretionary open-market activity detected in the period.</w:t>
      </w:r>
    </w:p>
    <w:p>
      <w:r>
        <w:br w:type="page"/>
      </w:r>
    </w:p>
    <w:p>
      <w:pPr>
        <w:pStyle w:val="Heading2"/>
      </w:pPr>
      <w:r>
        <w:rPr>
          <w:rFonts w:ascii="Calibri" w:hAnsi="Calibri"/>
          <w:b/>
          <w:color w:val="3B4259"/>
          <w:sz w:val="28"/>
        </w:rPr>
        <w:t>8. Peer Commentary &amp; Read-Throughs</w:t>
      </w:r>
    </w:p>
    <w:p>
      <w:r>
        <w:rPr>
          <w:rFonts w:ascii="Calibri" w:hAnsi="Calibri"/>
          <w:b/>
          <w:color w:val="525866"/>
          <w:sz w:val="22"/>
        </w:rPr>
        <w:t xml:space="preserve">Screening Rule: </w:t>
      </w:r>
      <w:r>
        <w:rPr>
          <w:rFonts w:ascii="Calibri" w:hAnsi="Calibri"/>
          <w:i/>
          <w:color w:val="525866"/>
          <w:sz w:val="22"/>
        </w:rPr>
        <w:t xml:space="preserve">Only commentary from the last 60 days (on or after May 28, 2026) that relates to the </w:t>
      </w:r>
      <w:r>
        <w:rPr>
          <w:rFonts w:ascii="Calibri" w:hAnsi="Calibri"/>
          <w:b/>
          <w:i/>
          <w:color w:val="525866"/>
          <w:sz w:val="22"/>
        </w:rPr>
        <w:t>current Q2 2026 reporting period</w:t>
      </w:r>
      <w:r>
        <w:rPr>
          <w:rFonts w:ascii="Calibri" w:hAnsi="Calibri"/>
          <w:i/>
          <w:color w:val="525866"/>
          <w:sz w:val="22"/>
        </w:rPr>
        <w:t xml:space="preserve"> (April–June 2026) or forward outlook communicated after Q1 2026 earnings is included. Prior-quarter results commentary (e.g., a peer discussing its own Q1 2025 performance on a Q1 2025 earnings call) is explicitly excluded. The Publicis Q2 2026 earnings call (July 16, 2026) is the primary qualifying source as it reports the same calendar quarter as OMC's upcoming Q2 2026 print.</w:t>
      </w:r>
    </w:p>
    <w:p>
      <w:pPr>
        <w:pStyle w:val="Heading3"/>
      </w:pPr>
      <w:r>
        <w:rPr>
          <w:rFonts w:ascii="Calibri" w:hAnsi="Calibri"/>
          <w:b/>
          <w:color w:val="3B4259"/>
          <w:sz w:val="24"/>
        </w:rPr>
        <w:t>Publicis Groupe — Q2 2026 Earnings Call (July 16, 2026)</w:t>
      </w:r>
    </w:p>
    <w:p>
      <w:r>
        <w:rPr>
          <w:rFonts w:ascii="Calibri" w:hAnsi="Calibri"/>
          <w:b/>
          <w:color w:val="525866"/>
          <w:sz w:val="22"/>
        </w:rPr>
        <w:t xml:space="preserve">Relevance: </w:t>
      </w:r>
      <w:r>
        <w:rPr>
          <w:rFonts w:ascii="Calibri" w:hAnsi="Calibri"/>
          <w:color w:val="525866"/>
          <w:sz w:val="22"/>
        </w:rPr>
        <w:t>Publicis is OMC's closest global peer (both are top-3 holding companies) and reported Q2 2026 results on July 16 — 12 days before OMC's print. This is the single most important peer read-through for OMC's Q2 setup. Publicis and OMC compete for the same clients, in the same geographies, and in the same disciplines (media, creative, data/CRM). Publicis's Q2 organic growth of +4.8% and guidance raise to 4.5–5.0% is a direct positive signal for the demand environment OMC will report into.</w:t>
      </w:r>
    </w:p>
    <w:p>
      <w:pPr>
        <w:pStyle w:val="Heading4"/>
      </w:pPr>
      <w:r>
        <w:rPr>
          <w:rFonts w:ascii="Calibri" w:hAnsi="Calibri"/>
          <w:b/>
          <w:color w:val="3B4259"/>
          <w:sz w:val="22"/>
        </w:rPr>
        <w:t>1. Organic Growth: Sequential Acceleration Despite Tougher Comps</w:t>
      </w:r>
    </w:p>
    <w:p>
      <w:r>
        <w:rPr>
          <w:rFonts w:ascii="Calibri" w:hAnsi="Calibri"/>
          <w:color w:val="525866"/>
          <w:sz w:val="22"/>
        </w:rPr>
        <w:t xml:space="preserve">Publicis reported Q2 2026 net organic growth of </w:t>
      </w:r>
      <w:r>
        <w:rPr>
          <w:rFonts w:ascii="Calibri" w:hAnsi="Calibri"/>
          <w:b/>
          <w:color w:val="525866"/>
          <w:sz w:val="22"/>
        </w:rPr>
        <w:t>+4.8%</w:t>
      </w:r>
      <w:r>
        <w:rPr>
          <w:rFonts w:ascii="Calibri" w:hAnsi="Calibri"/>
          <w:color w:val="525866"/>
          <w:sz w:val="22"/>
        </w:rPr>
        <w:t xml:space="preserve">, accelerating from +4.5% in Q1 2026, despite a 100 basis point higher comparable base and an increasingly uncertain geopolitical context. Connected media (62% of net revenue) delivered </w:t>
      </w:r>
      <w:r>
        <w:rPr>
          <w:rFonts w:ascii="Calibri" w:hAnsi="Calibri"/>
          <w:b/>
          <w:color w:val="525866"/>
          <w:sz w:val="22"/>
        </w:rPr>
        <w:t>high single-digit growth</w:t>
      </w:r>
      <w:r>
        <w:rPr>
          <w:rFonts w:ascii="Calibri" w:hAnsi="Calibri"/>
          <w:color w:val="525866"/>
          <w:sz w:val="22"/>
        </w:rPr>
        <w:t xml:space="preserve">, accelerating vs. Q1, driven by double-digit growth in Europe and high single-digit growth in the US. Marketing transformation activities (87% of net revenue) grew </w:t>
      </w:r>
      <w:r>
        <w:rPr>
          <w:rFonts w:ascii="Calibri" w:hAnsi="Calibri"/>
          <w:b/>
          <w:color w:val="525866"/>
          <w:sz w:val="22"/>
        </w:rPr>
        <w:t>+6.5% organically</w:t>
      </w:r>
      <w:r>
        <w:rPr>
          <w:rFonts w:ascii="Calibri" w:hAnsi="Calibri"/>
          <w:color w:val="525866"/>
          <w:sz w:val="22"/>
        </w:rPr>
        <w:t xml:space="preserve"> in Q2 vs. +5.6% in Q1.</w:t>
      </w:r>
    </w:p>
    <w:p>
      <w:r>
        <w:rPr>
          <w:rFonts w:ascii="Calibri" w:hAnsi="Calibri"/>
          <w:b/>
          <w:color w:val="525866"/>
          <w:sz w:val="22"/>
        </w:rPr>
        <w:t xml:space="preserve">OMC Read-Through: </w:t>
      </w:r>
      <w:r>
        <w:rPr>
          <w:rFonts w:ascii="Calibri" w:hAnsi="Calibri"/>
          <w:b/>
          <w:color w:val="30A46C"/>
          <w:sz w:val="22"/>
        </w:rPr>
        <w:t>Positive. Publicis's acceleration in connected media and marketing transformation is directly analogous to OMC's Integrated Media segment (which grew high single digits in Q1 and represents ~52% of core revenues). If the demand environment was strong enough for Publicis to accelerate, OMC's Integrated Media should also hold or improve. The +4.8% Publicis print vs. OMC's ~3.6% consensus implies OMC's bar is lower, creating upside optionality.</w:t>
      </w:r>
    </w:p>
    <w:p>
      <w:pPr>
        <w:pStyle w:val="Heading4"/>
      </w:pPr>
      <w:r>
        <w:rPr>
          <w:rFonts w:ascii="Calibri" w:hAnsi="Calibri"/>
          <w:b/>
          <w:color w:val="3B4259"/>
          <w:sz w:val="22"/>
        </w:rPr>
        <w:t>2. US Demand: Solid Mid-to-High Single Digit Growth</w:t>
      </w:r>
    </w:p>
    <w:p>
      <w:r>
        <w:rPr>
          <w:rFonts w:ascii="Calibri" w:hAnsi="Calibri"/>
          <w:color w:val="525866"/>
          <w:sz w:val="22"/>
        </w:rPr>
        <w:t xml:space="preserve">Publicis US organic growth was </w:t>
      </w:r>
      <w:r>
        <w:rPr>
          <w:rFonts w:ascii="Calibri" w:hAnsi="Calibri"/>
          <w:b/>
          <w:color w:val="525866"/>
          <w:sz w:val="22"/>
        </w:rPr>
        <w:t>+5.5% in Q2</w:t>
      </w:r>
      <w:r>
        <w:rPr>
          <w:rFonts w:ascii="Calibri" w:hAnsi="Calibri"/>
          <w:color w:val="525866"/>
          <w:sz w:val="22"/>
        </w:rPr>
        <w:t xml:space="preserve"> (accelerating from Q1), driven by high single-digit connected media growth and mid-single-digit intelligent creativity growth. The US represents 58% of Publicis net revenue. Technology (Publicis Sapient) was down mid-single digits in the US, dragged by delays in large IT transformation programs linked to geopolitical uncertainty and the Middle East conflict.</w:t>
      </w:r>
    </w:p>
    <w:p>
      <w:r>
        <w:rPr>
          <w:rFonts w:ascii="Calibri" w:hAnsi="Calibri"/>
          <w:b/>
          <w:color w:val="525866"/>
          <w:sz w:val="22"/>
        </w:rPr>
        <w:t xml:space="preserve">OMC Read-Through: </w:t>
      </w:r>
      <w:r>
        <w:rPr>
          <w:rFonts w:ascii="Calibri" w:hAnsi="Calibri"/>
          <w:b/>
          <w:color w:val="30A46C"/>
          <w:sz w:val="22"/>
        </w:rPr>
        <w:t>Positive for OMC's US business (61% of Q1 core revenues, which grew mid-single digits). The Publicis Sapient weakness in IT consulting is not a direct OMC read-through — OMC's Precision Marketing/consulting exposure is smaller and concentrated in Credera (Europe-heavy). The US media and creative demand signal is the relevant takeaway.</w:t>
      </w:r>
    </w:p>
    <w:p>
      <w:pPr>
        <w:pStyle w:val="Heading4"/>
      </w:pPr>
      <w:r>
        <w:rPr>
          <w:rFonts w:ascii="Calibri" w:hAnsi="Calibri"/>
          <w:b/>
          <w:color w:val="3B4259"/>
          <w:sz w:val="22"/>
        </w:rPr>
        <w:t>3. Client Budget Behavior: Marketing Spend Resilient; IT CapEx Delayed</w:t>
      </w:r>
    </w:p>
    <w:p>
      <w:r>
        <w:rPr>
          <w:rFonts w:ascii="Calibri" w:hAnsi="Calibri"/>
          <w:color w:val="525866"/>
          <w:sz w:val="22"/>
        </w:rPr>
        <w:t>Publicis CEO Arthur Sadoun noted that clients are acutely aware that cutting marketing spend leads to market share loss that is difficult to recover, making them reluctant to reduce budgets even amid geopolitical uncertainty. He stated: "</w:t>
      </w:r>
      <w:r>
        <w:rPr>
          <w:rFonts w:ascii="Calibri" w:hAnsi="Calibri"/>
          <w:i/>
          <w:color w:val="525866"/>
          <w:sz w:val="22"/>
        </w:rPr>
        <w:t>They know that if they cut their marketing spend, they will lose market share. That actually will be very difficult to win back. They have experienced that many times."</w:t>
      </w:r>
      <w:r>
        <w:rPr>
          <w:rFonts w:ascii="Calibri" w:hAnsi="Calibri"/>
          <w:color w:val="525866"/>
          <w:sz w:val="22"/>
        </w:rPr>
        <w:t xml:space="preserve"> However, the same geopolitical uncertainty is causing clients to delay large discretionary IT CapEx investments, which is impacting Publicis Sapient (IT consulting) but not the core media and creative businesses.</w:t>
      </w:r>
    </w:p>
    <w:p>
      <w:r>
        <w:rPr>
          <w:rFonts w:ascii="Calibri" w:hAnsi="Calibri"/>
          <w:b/>
          <w:color w:val="525866"/>
          <w:sz w:val="22"/>
        </w:rPr>
        <w:t xml:space="preserve">OMC Read-Through: </w:t>
      </w:r>
      <w:r>
        <w:rPr>
          <w:rFonts w:ascii="Calibri" w:hAnsi="Calibri"/>
          <w:b/>
          <w:color w:val="30A46C"/>
          <w:sz w:val="22"/>
        </w:rPr>
        <w:t>Positive for OMC's core media and creative businesses. The bifurcation between resilient marketing spend and delayed IT CapEx is consistent with OMC's own Q1 commentary (Integrated Media strong, Precision Marketing/Credera softer in Europe). Expect OMC management to echo similar themes on the Q2 call.</w:t>
      </w:r>
    </w:p>
    <w:p>
      <w:pPr>
        <w:pStyle w:val="Heading4"/>
      </w:pPr>
      <w:r>
        <w:rPr>
          <w:rFonts w:ascii="Calibri" w:hAnsi="Calibri"/>
          <w:b/>
          <w:color w:val="3B4259"/>
          <w:sz w:val="22"/>
        </w:rPr>
        <w:t>4. AI as Structural Tailwind; New Business Environment Competitive but Favorable for Scale Players</w:t>
      </w:r>
    </w:p>
    <w:p>
      <w:r>
        <w:rPr>
          <w:rFonts w:ascii="Calibri" w:hAnsi="Calibri"/>
          <w:color w:val="525866"/>
          <w:sz w:val="22"/>
        </w:rPr>
        <w:t>Publicis described AI as a "structural tailwind" that has driven ~20% cumulative growth since the rise of generative AI three years ago. Sadoun noted that AI creates a more complex world, making clients more dependent on capable partners, which benefits scale players in new business pitches. He also noted that pitches are becoming shorter and more capability-focused, with some clients awarding business without a formal pitch. Publicis passed on approximately six pitches in H1 that were deemed purely price-driven, citing aggressive pricing from financially pressured competitors.</w:t>
      </w:r>
    </w:p>
    <w:p>
      <w:r>
        <w:rPr>
          <w:rFonts w:ascii="Calibri" w:hAnsi="Calibri"/>
          <w:b/>
          <w:color w:val="525866"/>
          <w:sz w:val="22"/>
        </w:rPr>
        <w:t xml:space="preserve">OMC Read-Through: </w:t>
      </w:r>
      <w:r>
        <w:rPr>
          <w:rFonts w:ascii="Calibri" w:hAnsi="Calibri"/>
          <w:b/>
          <w:color w:val="30A46C"/>
          <w:sz w:val="22"/>
        </w:rPr>
        <w:t>Positive and directly relevant. OMC has made similar arguments about AI complexity driving client consolidation toward scale players and has highlighted its proactive new business development model. The reference to "financially pressured competitors" engaging in aggressive pricing is likely a reference to WPP and/or smaller agencies — not OMC, which is in a position of strength post-IPG. The client consolidation trend (multi-year contracts, single-provider preference) is a key OMC thesis.</w:t>
      </w:r>
    </w:p>
    <w:p>
      <w:pPr>
        <w:pStyle w:val="Heading4"/>
      </w:pPr>
      <w:r>
        <w:rPr>
          <w:rFonts w:ascii="Calibri" w:hAnsi="Calibri"/>
          <w:b/>
          <w:color w:val="3B4259"/>
          <w:sz w:val="22"/>
        </w:rPr>
        <w:t>5. Guidance Raised: FY 2026 Organic Growth 4.5–5.0% (from 4–5%)</w:t>
      </w:r>
    </w:p>
    <w:p>
      <w:r>
        <w:rPr>
          <w:rFonts w:ascii="Calibri" w:hAnsi="Calibri"/>
          <w:color w:val="525866"/>
          <w:sz w:val="22"/>
        </w:rPr>
        <w:t xml:space="preserve">Publicis raised its FY 2026 organic growth guidance to </w:t>
      </w:r>
      <w:r>
        <w:rPr>
          <w:rFonts w:ascii="Calibri" w:hAnsi="Calibri"/>
          <w:b/>
          <w:color w:val="525866"/>
          <w:sz w:val="22"/>
        </w:rPr>
        <w:t>4.5–5.0%</w:t>
      </w:r>
      <w:r>
        <w:rPr>
          <w:rFonts w:ascii="Calibri" w:hAnsi="Calibri"/>
          <w:color w:val="525866"/>
          <w:sz w:val="22"/>
        </w:rPr>
        <w:t xml:space="preserve"> (from 4–5%), driven by confidence in H2 momentum from new business wins (six major wins in H1 expected to contribute ~50 bps in H2 2026 and ~150 bps in 2027). Operating margin guidance was confirmed at slightly above 18.2%. Free cash flow guidance was raised to ~€2.2B (from ~€2.1B). Publicis noted that achieving the high end of guidance requires some improvement in macro conditions.</w:t>
      </w:r>
    </w:p>
    <w:p>
      <w:r>
        <w:rPr>
          <w:rFonts w:ascii="Calibri" w:hAnsi="Calibri"/>
          <w:b/>
          <w:color w:val="525866"/>
          <w:sz w:val="22"/>
        </w:rPr>
        <w:t xml:space="preserve">OMC Read-Through: </w:t>
      </w:r>
      <w:r>
        <w:rPr>
          <w:rFonts w:ascii="Calibri" w:hAnsi="Calibri"/>
          <w:b/>
          <w:color w:val="30A46C"/>
          <w:sz w:val="22"/>
        </w:rPr>
        <w:t>Positive for sector sentiment. Publicis's guidance raise signals that the demand environment is healthy enough to support acceleration in H2 2026. For OMC, which is guiding to ~4% FY organic growth (slightly below Publicis's new midpoint), this suggests OMC's bar is achievable and potentially conservative. The new business pipeline commentary (large wins ramping in H2) is also consistent with OMC's own new business wins (IBM, GSK, John Deere, Little Caesars, Acadia, Bally's) announced at Q1.</w:t>
      </w:r>
    </w:p>
    <w:p>
      <w:pPr>
        <w:pStyle w:val="Heading4"/>
      </w:pPr>
      <w:r>
        <w:rPr>
          <w:rFonts w:ascii="Calibri" w:hAnsi="Calibri"/>
          <w:b/>
          <w:color w:val="3B4259"/>
          <w:sz w:val="22"/>
        </w:rPr>
        <w:t>6. Technology / Consulting Weakness: A Watch Item, Not a OMC-Specific Risk</w:t>
      </w:r>
    </w:p>
    <w:p>
      <w:r>
        <w:rPr>
          <w:rFonts w:ascii="Calibri" w:hAnsi="Calibri"/>
          <w:color w:val="525866"/>
          <w:sz w:val="22"/>
        </w:rPr>
        <w:t>Publicis Sapient (IT consulting, 13% of net revenue) declined mid-single digits in Q2, with a 600 bps tougher comparable vs. Q1. Publicis attributed this to delays in large transformation programs linked to geopolitical uncertainty (particularly the Middle East conflict) and noted this is consistent with what "the market leader" (Accenture) and other high-tech consulting firms are experiencing. Publicis explicitly excluded any major Sapient improvement from its H2 guidance.</w:t>
      </w:r>
    </w:p>
    <w:p>
      <w:r>
        <w:rPr>
          <w:rFonts w:ascii="Calibri" w:hAnsi="Calibri"/>
          <w:b/>
          <w:color w:val="525866"/>
          <w:sz w:val="22"/>
        </w:rPr>
        <w:t xml:space="preserve">OMC Read-Through: </w:t>
      </w:r>
      <w:r>
        <w:rPr>
          <w:rFonts w:ascii="Calibri" w:hAnsi="Calibri"/>
          <w:b/>
          <w:color w:val="E5484D"/>
          <w:sz w:val="22"/>
        </w:rPr>
        <w:t>Neutral to slightly negative for OMC's Precision Marketing segment (which includes Credera, OMC's European consulting business that was already flagged as weak in Q1). The IT consulting headwind is a sector-wide issue, not OMC-specific, and OMC management has already flagged Credera weakness. Expect continued softness in Precision Marketing in Q2, but this is already in consensus.</w:t>
      </w:r>
    </w:p>
    <w:p>
      <w:pPr>
        <w:pStyle w:val="Heading3"/>
      </w:pPr>
      <w:r>
        <w:rPr>
          <w:rFonts w:ascii="Calibri" w:hAnsi="Calibri"/>
          <w:b/>
          <w:color w:val="3B4259"/>
          <w:sz w:val="24"/>
        </w:rPr>
        <w:t>Alphabet (GOOGL) — Q2 2026 Earnings (July 22, 2026)</w:t>
      </w:r>
    </w:p>
    <w:p>
      <w:r>
        <w:rPr>
          <w:rFonts w:ascii="Calibri" w:hAnsi="Calibri"/>
          <w:b/>
          <w:color w:val="525866"/>
          <w:sz w:val="22"/>
        </w:rPr>
        <w:t xml:space="preserve">Relevance: </w:t>
      </w:r>
      <w:r>
        <w:rPr>
          <w:rFonts w:ascii="Calibri" w:hAnsi="Calibri"/>
          <w:color w:val="525866"/>
          <w:sz w:val="22"/>
        </w:rPr>
        <w:t>Google is the world's largest digital advertising platform and a key partner/competitor for ad agencies. Google's Q2 advertising revenue trends are a direct read-through for the digital ad market that OMC's media clients are spending into.</w:t>
      </w:r>
    </w:p>
    <w:p>
      <w:r>
        <w:rPr>
          <w:rFonts w:ascii="Calibri" w:hAnsi="Calibri"/>
          <w:color w:val="525866"/>
          <w:sz w:val="22"/>
        </w:rPr>
        <w:t>Key Data Points for OMC Read-Through:</w:t>
      </w:r>
    </w:p>
    <w:p>
      <w:pPr>
        <w:pStyle w:val="ListBullet"/>
        <w:ind w:left="360" w:hanging="360"/>
      </w:pPr>
      <w:r>
        <w:rPr>
          <w:rFonts w:ascii="Calibri" w:hAnsi="Calibri"/>
          <w:color w:val="525866"/>
          <w:sz w:val="22"/>
        </w:rPr>
        <w:t>Google Search revenue grew ~17% YoY in Q2 2026, slightly missing estimates but still robust. AI Overviews now appear in 43% of searches (up from 15% a year ago), with average query lengths rising as users shift to conversational AI search. This is a long-term structural watch item for ad agency relevance (if AI answers replace clicks, ad budgets could shift), but near-term demand remains healthy.</w:t>
      </w:r>
    </w:p>
    <w:p>
      <w:pPr>
        <w:pStyle w:val="ListBullet"/>
        <w:ind w:left="360" w:hanging="360"/>
      </w:pPr>
      <w:r>
        <w:rPr>
          <w:rFonts w:ascii="Calibri" w:hAnsi="Calibri"/>
          <w:color w:val="525866"/>
          <w:sz w:val="22"/>
        </w:rPr>
        <w:t>YouTube advertising revenue was strong, contributing to overall Google advertising revenue growth of ~17–20% YoY. This is a positive signal for OMC's media clients' digital video ad budgets.</w:t>
      </w:r>
    </w:p>
    <w:p>
      <w:pPr>
        <w:pStyle w:val="ListBullet"/>
        <w:ind w:left="360" w:hanging="360"/>
      </w:pPr>
      <w:r>
        <w:rPr>
          <w:rFonts w:ascii="Calibri" w:hAnsi="Calibri"/>
          <w:color w:val="525866"/>
          <w:sz w:val="22"/>
        </w:rPr>
        <w:t>Google Cloud grew 82% YoY to $24.8B, with a $514B backlog. Strong cloud demand signals robust enterprise AI investment, which is a tailwind for OMC's data/technology-adjacent services (Omni platform, Flywheel, Commerce Cloud).</w:t>
      </w:r>
    </w:p>
    <w:p>
      <w:pPr>
        <w:pStyle w:val="ListBullet"/>
        <w:ind w:left="360" w:hanging="360"/>
      </w:pPr>
      <w:r>
        <w:rPr>
          <w:rFonts w:ascii="Calibri" w:hAnsi="Calibri"/>
          <w:color w:val="525866"/>
          <w:sz w:val="22"/>
        </w:rPr>
        <w:t>Capex raised to $195–205B for FY 2026 (from $180–190B), with negative FCF in Q2 for the first time. Market reaction was negative (-7%), reflecting concerns about ROI timeline. For OMC, the capex escalation is a double-edged signal: it confirms AI infrastructure investment is accelerating (positive for digital ad ecosystem), but also raises questions about whether hyperscaler spending crowds out marketing budgets.</w:t>
      </w:r>
    </w:p>
    <w:p>
      <w:r>
        <w:rPr>
          <w:rFonts w:ascii="Calibri" w:hAnsi="Calibri"/>
          <w:b/>
          <w:color w:val="525866"/>
          <w:sz w:val="22"/>
        </w:rPr>
        <w:t xml:space="preserve">OMC Read-Through: </w:t>
      </w:r>
      <w:r>
        <w:rPr>
          <w:rFonts w:ascii="Calibri" w:hAnsi="Calibri"/>
          <w:color w:val="525866"/>
          <w:sz w:val="22"/>
        </w:rPr>
        <w:t>Broadly positive for near-term digital ad demand. The AI search evolution is a longer-term structural watch item but not a Q2 2026 earnings risk. The strong cloud/AI demand environment is consistent with OMC's thesis that AI complexity drives client need for capable marketing partners.</w:t>
      </w:r>
    </w:p>
    <w:p>
      <w:pPr>
        <w:pStyle w:val="Heading3"/>
      </w:pPr>
      <w:r>
        <w:rPr>
          <w:rFonts w:ascii="Calibri" w:hAnsi="Calibri"/>
          <w:b/>
          <w:color w:val="3B4259"/>
          <w:sz w:val="24"/>
        </w:rPr>
        <w:t>Comcast (CMCSA) — Q2 2026 Earnings (July 23, 2026)</w:t>
      </w:r>
    </w:p>
    <w:p>
      <w:r>
        <w:rPr>
          <w:rFonts w:ascii="Calibri" w:hAnsi="Calibri"/>
          <w:b/>
          <w:color w:val="525866"/>
          <w:sz w:val="22"/>
        </w:rPr>
        <w:t xml:space="preserve">Relevance: </w:t>
      </w:r>
      <w:r>
        <w:rPr>
          <w:rFonts w:ascii="Calibri" w:hAnsi="Calibri"/>
          <w:color w:val="525866"/>
          <w:sz w:val="22"/>
        </w:rPr>
        <w:t>Comcast/NBCUniversal is a major media owner and advertising platform. Its Q2 results provide a read-through on TV/streaming ad market conditions.</w:t>
      </w:r>
    </w:p>
    <w:p>
      <w:r>
        <w:rPr>
          <w:rFonts w:ascii="Calibri" w:hAnsi="Calibri"/>
          <w:color w:val="525866"/>
          <w:sz w:val="22"/>
        </w:rPr>
        <w:t>Key Data Points:</w:t>
      </w:r>
    </w:p>
    <w:p>
      <w:pPr>
        <w:pStyle w:val="ListBullet"/>
        <w:ind w:left="360" w:hanging="360"/>
      </w:pPr>
      <w:r>
        <w:rPr>
          <w:rFonts w:ascii="Calibri" w:hAnsi="Calibri"/>
          <w:color w:val="525866"/>
          <w:sz w:val="22"/>
        </w:rPr>
        <w:t>NBCUniversal content &amp; experiences revenue rose ~23% YoY, driven by the NBA playoffs and World Cup on Peacock. Peacock reached profitability for the first time since its 2020 launch.</w:t>
      </w:r>
    </w:p>
    <w:p>
      <w:pPr>
        <w:pStyle w:val="ListBullet"/>
        <w:ind w:left="360" w:hanging="360"/>
      </w:pPr>
      <w:r>
        <w:rPr>
          <w:rFonts w:ascii="Calibri" w:hAnsi="Calibri"/>
          <w:color w:val="525866"/>
          <w:sz w:val="22"/>
        </w:rPr>
        <w:t>Comcast reported pro forma revenue of $29.56B (+4.7%), EBITDA of $8.92B (vs. $8.84B est.), and FCF of $4.6B (~$1B above plan). Wireless net adds of ~450K beat estimates of 384K.</w:t>
      </w:r>
    </w:p>
    <w:p>
      <w:pPr>
        <w:pStyle w:val="ListBullet"/>
        <w:ind w:left="360" w:hanging="360"/>
      </w:pPr>
      <w:r>
        <w:rPr>
          <w:rFonts w:ascii="Calibri" w:hAnsi="Calibri"/>
          <w:color w:val="525866"/>
          <w:sz w:val="22"/>
        </w:rPr>
        <w:t>Broadband subscriber losses continued (167K residential losses), reflecting ongoing competition from fixed wireless and fiber. Cable TV lost 280K subscribers.</w:t>
      </w:r>
    </w:p>
    <w:p>
      <w:r>
        <w:rPr>
          <w:rFonts w:ascii="Calibri" w:hAnsi="Calibri"/>
          <w:b/>
          <w:color w:val="525866"/>
          <w:sz w:val="22"/>
        </w:rPr>
        <w:t xml:space="preserve">OMC Read-Through: </w:t>
      </w:r>
      <w:r>
        <w:rPr>
          <w:rFonts w:ascii="Calibri" w:hAnsi="Calibri"/>
          <w:color w:val="525866"/>
          <w:sz w:val="22"/>
        </w:rPr>
        <w:t>Modestly positive. Strong NBCUniversal performance and Peacock profitability signal a healthy premium video advertising environment. The broadband/cable subscriber losses are a secular headwind for linear TV ad budgets but are already well-understood by the market and OMC's media planning teams.</w:t>
      </w:r>
    </w:p>
    <w:p>
      <w:pPr>
        <w:pStyle w:val="Heading3"/>
      </w:pPr>
      <w:r>
        <w:rPr>
          <w:rFonts w:ascii="Calibri" w:hAnsi="Calibri"/>
          <w:b/>
          <w:color w:val="3B4259"/>
          <w:sz w:val="24"/>
        </w:rPr>
        <w:t>Commentary Excluded (Screening Rule Applied)</w:t>
      </w:r>
    </w:p>
    <w:p>
      <w:r>
        <w:rPr>
          <w:rFonts w:ascii="Calibri" w:hAnsi="Calibri"/>
          <w:color w:val="525866"/>
          <w:sz w:val="22"/>
        </w:rPr>
        <w:t>The following were reviewed and excluded because they relate to prior-quarter results (Q1 2026 or earlier) rather than the current Q2 2026 reporting period or forward outlook:</w:t>
      </w:r>
    </w:p>
    <w:p>
      <w:pPr>
        <w:pStyle w:val="ListBullet"/>
        <w:ind w:left="360" w:hanging="360"/>
      </w:pPr>
      <w:r>
        <w:rPr>
          <w:rFonts w:ascii="Calibri" w:hAnsi="Calibri"/>
          <w:color w:val="525866"/>
          <w:sz w:val="22"/>
        </w:rPr>
        <w:t>Netflix Q2 2026 earnings (July 16–17): Netflix is not an advertising-supported platform in a way that directly reads through to OMC's media buying business. Its Q2 results (EPS beat, Q3 revenue guidance miss) reflect streaming-specific dynamics (engagement, content spend) rather than the broader advertising market. Excluded as not a meaningful OMC read-through.</w:t>
      </w:r>
    </w:p>
    <w:p>
      <w:pPr>
        <w:pStyle w:val="ListBullet"/>
        <w:ind w:left="360" w:hanging="360"/>
      </w:pPr>
      <w:r>
        <w:rPr>
          <w:rFonts w:ascii="Calibri" w:hAnsi="Calibri"/>
          <w:color w:val="525866"/>
          <w:sz w:val="22"/>
        </w:rPr>
        <w:t>WPP: No Q2 2026 earnings transcript available in the research database. WPP has not yet reported Q2 2026 results as of July 27, 2026.</w:t>
      </w:r>
    </w:p>
    <w:p>
      <w:pPr>
        <w:pStyle w:val="ListBullet"/>
        <w:ind w:left="360" w:hanging="360"/>
      </w:pPr>
      <w:r>
        <w:rPr>
          <w:rFonts w:ascii="Calibri" w:hAnsi="Calibri"/>
          <w:color w:val="525866"/>
          <w:sz w:val="22"/>
        </w:rPr>
        <w:t>Stagwell (STGW): No Q2 2026 earnings transcript available. Not yet reported.</w:t>
      </w:r>
    </w:p>
    <w:p>
      <w:pPr>
        <w:pStyle w:val="ListBullet"/>
        <w:ind w:left="360" w:hanging="360"/>
      </w:pPr>
      <w:r>
        <w:rPr>
          <w:rFonts w:ascii="Calibri" w:hAnsi="Calibri"/>
          <w:color w:val="525866"/>
          <w:sz w:val="22"/>
        </w:rPr>
        <w:t>Any peer commentary from Q1 2025 or Q4 2025 earnings calls: Excluded per screening rule — these relate to prior reporting periods and do not reflect current Q2 2026 demand conditions.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Signal for OMC</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Confidence</w:t>
            </w:r>
          </w:p>
        </w:tc>
      </w:tr>
      <w:tr>
        <w:tc>
          <w:tcPr>
            <w:tcW w:type="dxa" w:w="1728"/>
          </w:tcPr>
          <w:p>
            <w:r>
              <w:rPr>
                <w:rFonts w:ascii="Calibri" w:hAnsi="Calibri"/>
                <w:sz w:val="22"/>
              </w:rPr>
              <w:t>Publicis Groupe</w:t>
            </w:r>
          </w:p>
        </w:tc>
        <w:tc>
          <w:tcPr>
            <w:tcW w:type="dxa" w:w="1728"/>
          </w:tcPr>
          <w:p>
            <w:r>
              <w:rPr>
                <w:rFonts w:ascii="Calibri" w:hAnsi="Calibri"/>
                <w:sz w:val="22"/>
              </w:rPr>
              <w:t>Jul 16, 2026</w:t>
            </w:r>
          </w:p>
        </w:tc>
        <w:tc>
          <w:tcPr>
            <w:tcW w:type="dxa" w:w="1728"/>
          </w:tcPr>
          <w:p>
            <w:r>
              <w:rPr>
                <w:rFonts w:ascii="Calibri" w:hAnsi="Calibri"/>
                <w:sz w:val="22"/>
              </w:rPr>
              <w:t>Q2 organic +4.8% (beat); guidance raised to 4.5–5.0%; US +5.5%; connected media high single digits; AI tailwind; client consolidation accelerating</w:t>
            </w:r>
          </w:p>
        </w:tc>
        <w:tc>
          <w:tcPr>
            <w:tcW w:type="dxa" w:w="1728"/>
          </w:tcPr>
          <w:p>
            <w:r>
              <w:rPr>
                <w:rFonts w:ascii="Calibri" w:hAnsi="Calibri"/>
                <w:b/>
                <w:color w:val="30A46C"/>
                <w:sz w:val="22"/>
              </w:rPr>
              <w:t>Positive</w:t>
            </w:r>
          </w:p>
        </w:tc>
        <w:tc>
          <w:tcPr>
            <w:tcW w:type="dxa" w:w="1728"/>
          </w:tcPr>
          <w:p>
            <w:r>
              <w:rPr>
                <w:rFonts w:ascii="Calibri" w:hAnsi="Calibri"/>
                <w:sz w:val="22"/>
              </w:rPr>
              <w:t>High (same quarter, same disciplines)</w:t>
            </w:r>
          </w:p>
        </w:tc>
      </w:tr>
      <w:tr>
        <w:tc>
          <w:tcPr>
            <w:tcW w:type="dxa" w:w="1728"/>
          </w:tcPr>
          <w:p>
            <w:r>
              <w:rPr>
                <w:rFonts w:ascii="Calibri" w:hAnsi="Calibri"/>
                <w:sz w:val="22"/>
              </w:rPr>
              <w:t>Alphabet (GOOGL)</w:t>
            </w:r>
          </w:p>
        </w:tc>
        <w:tc>
          <w:tcPr>
            <w:tcW w:type="dxa" w:w="1728"/>
          </w:tcPr>
          <w:p>
            <w:r>
              <w:rPr>
                <w:rFonts w:ascii="Calibri" w:hAnsi="Calibri"/>
                <w:sz w:val="22"/>
              </w:rPr>
              <w:t>Jul 22, 2026</w:t>
            </w:r>
          </w:p>
        </w:tc>
        <w:tc>
          <w:tcPr>
            <w:tcW w:type="dxa" w:w="1728"/>
          </w:tcPr>
          <w:p>
            <w:r>
              <w:rPr>
                <w:rFonts w:ascii="Calibri" w:hAnsi="Calibri"/>
                <w:sz w:val="22"/>
              </w:rPr>
              <w:t>Search +17% YoY; YouTube strong; digital ad demand healthy; AI search evolution a long-term watch</w:t>
            </w:r>
          </w:p>
        </w:tc>
        <w:tc>
          <w:tcPr>
            <w:tcW w:type="dxa" w:w="1728"/>
          </w:tcPr>
          <w:p>
            <w:r>
              <w:rPr>
                <w:rFonts w:ascii="Calibri" w:hAnsi="Calibri"/>
                <w:b/>
                <w:color w:val="30A46C"/>
                <w:sz w:val="22"/>
              </w:rPr>
              <w:t>Broadly Positive</w:t>
            </w:r>
          </w:p>
        </w:tc>
        <w:tc>
          <w:tcPr>
            <w:tcW w:type="dxa" w:w="1728"/>
          </w:tcPr>
          <w:p>
            <w:r>
              <w:rPr>
                <w:rFonts w:ascii="Calibri" w:hAnsi="Calibri"/>
                <w:sz w:val="22"/>
              </w:rPr>
              <w:t>Medium (platform, not agency)</w:t>
            </w:r>
          </w:p>
        </w:tc>
      </w:tr>
      <w:tr>
        <w:tc>
          <w:tcPr>
            <w:tcW w:type="dxa" w:w="1728"/>
          </w:tcPr>
          <w:p>
            <w:r>
              <w:rPr>
                <w:rFonts w:ascii="Calibri" w:hAnsi="Calibri"/>
                <w:sz w:val="22"/>
              </w:rPr>
              <w:t>Comcast / NBCU</w:t>
            </w:r>
          </w:p>
        </w:tc>
        <w:tc>
          <w:tcPr>
            <w:tcW w:type="dxa" w:w="1728"/>
          </w:tcPr>
          <w:p>
            <w:r>
              <w:rPr>
                <w:rFonts w:ascii="Calibri" w:hAnsi="Calibri"/>
                <w:sz w:val="22"/>
              </w:rPr>
              <w:t>Jul 23, 2026</w:t>
            </w:r>
          </w:p>
        </w:tc>
        <w:tc>
          <w:tcPr>
            <w:tcW w:type="dxa" w:w="1728"/>
          </w:tcPr>
          <w:p>
            <w:r>
              <w:rPr>
                <w:rFonts w:ascii="Calibri" w:hAnsi="Calibri"/>
                <w:sz w:val="22"/>
              </w:rPr>
              <w:t>NBCU content revenue +23%; Peacock profitable; premium video ad market healthy</w:t>
            </w:r>
          </w:p>
        </w:tc>
        <w:tc>
          <w:tcPr>
            <w:tcW w:type="dxa" w:w="1728"/>
          </w:tcPr>
          <w:p>
            <w:r>
              <w:rPr>
                <w:rFonts w:ascii="Calibri" w:hAnsi="Calibri"/>
                <w:b/>
                <w:color w:val="30A46C"/>
                <w:sz w:val="22"/>
              </w:rPr>
              <w:t>Modestly Positive</w:t>
            </w:r>
          </w:p>
        </w:tc>
        <w:tc>
          <w:tcPr>
            <w:tcW w:type="dxa" w:w="1728"/>
          </w:tcPr>
          <w:p>
            <w:r>
              <w:rPr>
                <w:rFonts w:ascii="Calibri" w:hAnsi="Calibri"/>
                <w:sz w:val="22"/>
              </w:rPr>
              <w:t>Medium (media owner, not agency)</w:t>
            </w:r>
          </w:p>
        </w:tc>
      </w:tr>
      <w:tr>
        <w:tc>
          <w:tcPr>
            <w:tcW w:type="dxa" w:w="1728"/>
          </w:tcPr>
          <w:p>
            <w:r>
              <w:rPr>
                <w:rFonts w:ascii="Calibri" w:hAnsi="Calibri"/>
                <w:sz w:val="22"/>
              </w:rPr>
              <w:t>Netflix</w:t>
            </w:r>
          </w:p>
        </w:tc>
        <w:tc>
          <w:tcPr>
            <w:tcW w:type="dxa" w:w="1728"/>
          </w:tcPr>
          <w:p>
            <w:r>
              <w:rPr>
                <w:rFonts w:ascii="Calibri" w:hAnsi="Calibri"/>
                <w:sz w:val="22"/>
              </w:rPr>
              <w:t>Jul 16, 2026</w:t>
            </w:r>
          </w:p>
        </w:tc>
        <w:tc>
          <w:tcPr>
            <w:tcW w:type="dxa" w:w="1728"/>
          </w:tcPr>
          <w:p>
            <w:r>
              <w:rPr>
                <w:rFonts w:ascii="Calibri" w:hAnsi="Calibri"/>
                <w:sz w:val="22"/>
              </w:rPr>
              <w:t>Q3 revenue growth guide of 11.7% (slowest since 2023); engagement concerns; not a major ad platform</w:t>
            </w:r>
          </w:p>
        </w:tc>
        <w:tc>
          <w:tcPr>
            <w:tcW w:type="dxa" w:w="1728"/>
          </w:tcPr>
          <w:p>
            <w:r>
              <w:rPr>
                <w:rFonts w:ascii="Calibri" w:hAnsi="Calibri"/>
                <w:b/>
                <w:color w:val="002FA7"/>
                <w:sz w:val="22"/>
              </w:rPr>
              <w:t>Neutral</w:t>
            </w:r>
          </w:p>
        </w:tc>
        <w:tc>
          <w:tcPr>
            <w:tcW w:type="dxa" w:w="1728"/>
          </w:tcPr>
          <w:p>
            <w:r>
              <w:rPr>
                <w:rFonts w:ascii="Calibri" w:hAnsi="Calibri"/>
                <w:sz w:val="22"/>
              </w:rPr>
              <w:t>Low (limited direct read-through)</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