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ON (onsemi) before writing the preview. Let me gather recent filings, transcripts, and news.I have strong Q1 2026 detail. Now let me pull the Q2 guidance context, recent stock performance, and consensus expectations.Let me get consensus estimates and understand the recent stock volatility.The Synaptics deal is clearly the dominant story. Let me get consensus estimates and the year-ago Q2 numbers for comparison.Let me try the consensus search once more and compute key stock stats.I have enough to compute a few clean stats, then write the preview.# onsemi (ON) — Q2 2026 Earnings Preview</w:t>
      </w:r>
    </w:p>
    <w:bookmarkStart w:id="9" w:name="Xf694c35bce17e813ea738d6d4a6fe0034efd434"/>
    <w:p>
      <w:pPr>
        <w:pStyle w:val="Heading3"/>
      </w:pPr>
      <w:r>
        <w:t xml:space="preserve">Reports Monday, August 3, 2026 (after close) | 2026Q2 Earnings Call</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onsemi heads into Q2 as a "recovery + AI story" that the market fell in love with in the first half of 2026 — and then abruptly re-rated after management dropped a surprise $7B acquisition. The print itself is likely to be fine (guidance was above-seasonal); the real event is what management says about the</w:t>
      </w:r>
      <w:r>
        <w:t xml:space="preserve"> </w:t>
      </w:r>
      <w:r>
        <w:rPr>
          <w:b/>
          <w:bCs/>
        </w:rPr>
        <w:t xml:space="preserve">Synaptics deal, the AI data center ramp, and the gross-margin trajectory</w:t>
      </w:r>
      <w:r>
        <w:t xml:space="preserve">. Expect an outsized stock reaction either way.</w:t>
      </w:r>
    </w:p>
    <w:p>
      <w:r>
        <w:pict>
          <v:rect style="width:0;height:1.5pt" o:hralign="center" o:hrstd="t" o:hr="t"/>
        </w:pict>
      </w:r>
    </w:p>
    <w:bookmarkEnd w:id="10"/>
    <w:bookmarkStart w:id="11" w:name="Xf168d515bff105078b465713536c03b737a1c11"/>
    <w:p>
      <w:pPr>
        <w:pStyle w:val="Heading2"/>
      </w:pPr>
      <w:r>
        <w:t xml:space="preserve">Price Action: Why Positioning Matters More Than Usual</w:t>
      </w:r>
    </w:p>
    <w:p>
      <w:pPr>
        <w:pStyle w:val="FirstParagraph"/>
      </w:pPr>
      <w:r>
        <w:t xml:space="preserve">The stock has been on a rollercoaster and enters the print with fragile sentiment: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Reference point</w:t>
            </w:r>
          </w:p>
        </w:tc>
        <w:tc>
          <w:tcPr/>
          <w:p>
            <w:pPr>
              <w:pStyle w:val="Compact"/>
            </w:pPr>
            <w:r>
              <w:t xml:space="preserve">Level</w:t>
            </w:r>
          </w:p>
        </w:tc>
        <w:tc>
          <w:tcPr/>
          <w:p>
            <w:pPr>
              <w:pStyle w:val="Compact"/>
            </w:pPr>
            <w:r>
              <w:t xml:space="preserve">vs. current (~$81.63)</w:t>
            </w:r>
          </w:p>
        </w:tc>
      </w:tr>
      <w:tr>
        <w:tc>
          <w:tcPr/>
          <w:p>
            <w:pPr>
              <w:pStyle w:val="Compact"/>
            </w:pPr>
            <w:r>
              <w:t xml:space="preserve">2025 cycle low (Nov '25)</w:t>
            </w:r>
          </w:p>
        </w:tc>
        <w:tc>
          <w:tcPr/>
          <w:p>
            <w:pPr>
              <w:pStyle w:val="Compact"/>
            </w:pPr>
            <w:r>
              <w:t xml:space="preserve">~$44.90</w:t>
            </w:r>
          </w:p>
        </w:tc>
        <w:tc>
          <w:tcPr/>
          <w:p>
            <w:pPr>
              <w:pStyle w:val="Compact"/>
            </w:pPr>
            <w:r>
              <w:t xml:space="preserve">+82%</w:t>
            </w:r>
          </w:p>
        </w:tc>
      </w:tr>
      <w:tr>
        <w:tc>
          <w:tcPr/>
          <w:p>
            <w:pPr>
              <w:pStyle w:val="Compact"/>
            </w:pPr>
            <w:r>
              <w:t xml:space="preserve">Q1 print (5/4/26)</w:t>
            </w:r>
          </w:p>
        </w:tc>
        <w:tc>
          <w:tcPr/>
          <w:p>
            <w:pPr>
              <w:pStyle w:val="Compact"/>
            </w:pPr>
            <w:r>
              <w:t xml:space="preserve">$102.04</w:t>
            </w:r>
          </w:p>
        </w:tc>
        <w:tc>
          <w:tcPr/>
          <w:p>
            <w:pPr>
              <w:pStyle w:val="Compact"/>
            </w:pPr>
            <w:r>
              <w:rPr>
                <w:b/>
                <w:bCs/>
              </w:rPr>
              <w:t xml:space="preserve">−20%</w:t>
            </w:r>
          </w:p>
        </w:tc>
      </w:tr>
      <w:tr>
        <w:tc>
          <w:tcPr/>
          <w:p>
            <w:pPr>
              <w:pStyle w:val="Compact"/>
            </w:pPr>
            <w:r>
              <w:t xml:space="preserve">2026 peak (6/3/26)</w:t>
            </w:r>
          </w:p>
        </w:tc>
        <w:tc>
          <w:tcPr/>
          <w:p>
            <w:pPr>
              <w:pStyle w:val="Compact"/>
            </w:pPr>
            <w:r>
              <w:t xml:space="preserve">$133.93</w:t>
            </w:r>
          </w:p>
        </w:tc>
        <w:tc>
          <w:tcPr/>
          <w:p>
            <w:pPr>
              <w:pStyle w:val="Compact"/>
            </w:pPr>
            <w:r>
              <w:rPr>
                <w:b/>
                <w:bCs/>
              </w:rPr>
              <w:t xml:space="preserve">−39%</w:t>
            </w:r>
          </w:p>
        </w:tc>
      </w:tr>
      <w:tr>
        <w:tc>
          <w:tcPr/>
          <w:p>
            <w:pPr>
              <w:pStyle w:val="Compact"/>
            </w:pPr>
            <w:r>
              <w:t xml:space="preserve">Pre-Synaptics (6/25/26)</w:t>
            </w:r>
          </w:p>
        </w:tc>
        <w:tc>
          <w:tcPr/>
          <w:p>
            <w:pPr>
              <w:pStyle w:val="Compact"/>
            </w:pPr>
            <w:r>
              <w:t xml:space="preserve">$118.74</w:t>
            </w:r>
          </w:p>
        </w:tc>
        <w:tc>
          <w:tcPr/>
          <w:p>
            <w:pPr>
              <w:pStyle w:val="Compact"/>
            </w:pPr>
            <w:r>
              <w:rPr>
                <w:b/>
                <w:bCs/>
              </w:rPr>
              <w:t xml:space="preserve">−31%</w:t>
            </w:r>
          </w:p>
        </w:tc>
      </w:tr>
      <w:tr>
        <w:tc>
          <w:tcPr/>
          <w:p>
            <w:pPr>
              <w:pStyle w:val="Compact"/>
            </w:pPr>
            <w:r>
              <w:t xml:space="preserve">Year-end 2025</w:t>
            </w:r>
          </w:p>
        </w:tc>
        <w:tc>
          <w:tcPr/>
          <w:p>
            <w:pPr>
              <w:pStyle w:val="Compact"/>
            </w:pPr>
            <w:r>
              <w:t xml:space="preserve">$54.15</w:t>
            </w:r>
          </w:p>
        </w:tc>
        <w:tc>
          <w:tcPr/>
          <w:p>
            <w:pPr>
              <w:pStyle w:val="Compact"/>
            </w:pPr>
            <w:r>
              <w:rPr>
                <w:b/>
                <w:bCs/>
              </w:rPr>
              <w:t xml:space="preserve">+51%</w:t>
            </w:r>
          </w:p>
        </w:tc>
      </w:tr>
    </w:tbl>
    <w:p>
      <w:pPr>
        <w:pStyle w:val="BodyText"/>
      </w:pPr>
      <w:r>
        <w:t xml:space="preserve">The takeaway: ON roughly tripled off the 2025 low and was up ~66% YTD before the Synaptics announcement, then gave back a huge chunk in one of its worst weeks in years. It's still up meaningfully on the year, but the "easy money" recovery trade has been challenged. With a rich multiple and heavy hedge-fund involvement, this is a high-beta print — any execution wobble gets punished.</w:t>
      </w:r>
    </w:p>
    <w:p>
      <w:r>
        <w:pict>
          <v:rect style="width:0;height:1.5pt" o:hralign="center" o:hrstd="t" o:hr="t"/>
        </w:pict>
      </w:r>
    </w:p>
    <w:bookmarkEnd w:id="11"/>
    <w:bookmarkStart w:id="12" w:name="what-management-guided-for-the-bar"/>
    <w:p>
      <w:pPr>
        <w:pStyle w:val="Heading2"/>
      </w:pPr>
      <w:r>
        <w:t xml:space="preserve">What Management Guided For (the bar)</w:t>
      </w:r>
    </w:p>
    <w:p>
      <w:pPr>
        <w:pStyle w:val="FirstParagraph"/>
      </w:pPr>
      <w:r>
        <w:t xml:space="preserve">On the Q1 call (May 4), CFO Thad Trent guided Q2 to:</w:t>
      </w:r>
    </w:p>
    <w:p>
      <w:pPr>
        <w:pStyle w:val="Compact"/>
        <w:numPr>
          <w:ilvl w:val="0"/>
          <w:numId w:val="1001"/>
        </w:numPr>
      </w:pPr>
      <w:r>
        <w:rPr>
          <w:b/>
          <w:bCs/>
        </w:rPr>
        <w:t xml:space="preserve">Revenue:</w:t>
      </w:r>
      <w:r>
        <w:rPr>
          <w:b/>
          <w:bCs/>
        </w:rPr>
        <w:t xml:space="preserve"> </w:t>
      </w:r>
      <m:oMath>
        <m:r>
          <m:t>1.535</m:t>
        </m:r>
        <m:r>
          <m:t>B</m:t>
        </m:r>
        <m:r>
          <m:rPr>
            <m:sty m:val="p"/>
          </m:rPr>
          <m:t>–</m:t>
        </m:r>
      </m:oMath>
      <w:r>
        <w:rPr>
          <w:b/>
          <w:bCs/>
        </w:rPr>
        <w:t xml:space="preserve">1.635B</w:t>
      </w:r>
      <w:r>
        <w:t xml:space="preserve"> </w:t>
      </w:r>
      <w:r>
        <w:t xml:space="preserve">(midpoint ~$1.585B, ~+8% YoY vs. $1.469B, ~+5% sequential)</w:t>
      </w:r>
    </w:p>
    <w:p>
      <w:pPr>
        <w:pStyle w:val="Compact"/>
        <w:numPr>
          <w:ilvl w:val="1"/>
          <w:numId w:val="1002"/>
        </w:numPr>
      </w:pPr>
      <w:r>
        <w:t xml:space="preserve">Includes another</w:t>
      </w:r>
      <w:r>
        <w:t xml:space="preserve"> </w:t>
      </w:r>
      <w:r>
        <w:rPr>
          <w:b/>
          <w:bCs/>
        </w:rPr>
        <w:t xml:space="preserve">$30–40M of planned non-core exits</w:t>
      </w:r>
      <w:r>
        <w:t xml:space="preserve">; ex-exits, up ~7% at midpoint and "above seasonal"</w:t>
      </w:r>
    </w:p>
    <w:p>
      <w:pPr>
        <w:pStyle w:val="Compact"/>
        <w:numPr>
          <w:ilvl w:val="0"/>
          <w:numId w:val="1001"/>
        </w:numPr>
      </w:pPr>
      <w:r>
        <w:rPr>
          <w:b/>
          <w:bCs/>
        </w:rPr>
        <w:t xml:space="preserve">Non-GAAP gross margin: 38%–40%</w:t>
      </w:r>
      <w:r>
        <w:t xml:space="preserve"> </w:t>
      </w:r>
      <w:r>
        <w:t xml:space="preserve">(vs. 38.5% in Q1)</w:t>
      </w:r>
    </w:p>
    <w:p>
      <w:pPr>
        <w:pStyle w:val="Compact"/>
        <w:numPr>
          <w:ilvl w:val="0"/>
          <w:numId w:val="1001"/>
        </w:numPr>
      </w:pPr>
      <w:r>
        <w:rPr>
          <w:b/>
          <w:bCs/>
        </w:rPr>
        <w:t xml:space="preserve">Non-GAAP opex:</w:t>
      </w:r>
      <w:r>
        <w:rPr>
          <w:b/>
          <w:bCs/>
        </w:rPr>
        <w:t xml:space="preserve"> </w:t>
      </w:r>
      <m:oMath>
        <m:r>
          <m:t>287</m:t>
        </m:r>
        <m:r>
          <m:t>M</m:t>
        </m:r>
        <m:r>
          <m:rPr>
            <m:sty m:val="p"/>
          </m:rPr>
          <m:t>–</m:t>
        </m:r>
      </m:oMath>
      <w:r>
        <w:rPr>
          <w:b/>
          <w:bCs/>
        </w:rPr>
        <w:t xml:space="preserve">302M</w:t>
      </w:r>
    </w:p>
    <w:p>
      <w:pPr>
        <w:pStyle w:val="Compact"/>
        <w:numPr>
          <w:ilvl w:val="0"/>
          <w:numId w:val="1001"/>
        </w:numPr>
      </w:pPr>
      <w:r>
        <w:rPr>
          <w:b/>
          <w:bCs/>
        </w:rPr>
        <w:t xml:space="preserve">Non-GAAP EPS:</w:t>
      </w:r>
      <w:r>
        <w:rPr>
          <w:b/>
          <w:bCs/>
        </w:rPr>
        <w:t xml:space="preserve"> </w:t>
      </w:r>
      <m:oMath>
        <m:r>
          <m:t>0.65</m:t>
        </m:r>
        <m:r>
          <m:rPr>
            <m:sty m:val="p"/>
          </m:rPr>
          <m:t>–</m:t>
        </m:r>
      </m:oMath>
      <w:r>
        <w:rPr>
          <w:b/>
          <w:bCs/>
        </w:rPr>
        <w:t xml:space="preserve">0.77</w:t>
      </w:r>
      <w:r>
        <w:t xml:space="preserve"> </w:t>
      </w:r>
      <w:r>
        <w:t xml:space="preserve">(midpoint $0.71, vs. $0.53 a year ago)</w:t>
      </w:r>
    </w:p>
    <w:p>
      <w:pPr>
        <w:pStyle w:val="Compact"/>
        <w:numPr>
          <w:ilvl w:val="0"/>
          <w:numId w:val="1001"/>
        </w:numPr>
      </w:pPr>
      <w:r>
        <w:t xml:space="preserve">Utilization "flat to up slightly" from 77%; capex $25–35M</w:t>
      </w:r>
    </w:p>
    <w:p>
      <w:pPr>
        <w:pStyle w:val="FirstParagraph"/>
      </w:pPr>
      <w:r>
        <w:rPr>
          <w:b/>
          <w:bCs/>
        </w:rPr>
        <w:t xml:space="preserve">Street consensus</w:t>
      </w:r>
      <w:r>
        <w:t xml:space="preserve"> </w:t>
      </w:r>
      <w:r>
        <w:t xml:space="preserve">sits around</w:t>
      </w:r>
      <w:r>
        <w:t xml:space="preserve"> </w:t>
      </w:r>
      <m:oMath>
        <m:r>
          <m:t>1.59</m:t>
        </m:r>
        <m:r>
          <m:t>B</m:t>
        </m:r>
        <m:r>
          <m:t>r</m:t>
        </m:r>
        <m:r>
          <m:t>e</m:t>
        </m:r>
        <m:r>
          <m:t>v</m:t>
        </m:r>
        <m:r>
          <m:t>e</m:t>
        </m:r>
        <m:r>
          <m:t>n</m:t>
        </m:r>
        <m:r>
          <m:t>u</m:t>
        </m:r>
        <m:r>
          <m:t>e</m:t>
        </m:r>
        <m:r>
          <m:t>a</m:t>
        </m:r>
        <m:r>
          <m:t>n</m:t>
        </m:r>
        <m:r>
          <m:t>d</m:t>
        </m:r>
        <m:r>
          <m:t> </m:t>
        </m:r>
      </m:oMath>
      <w:r>
        <w:rPr>
          <w:b/>
          <w:bCs/>
        </w:rPr>
        <w:t xml:space="preserve">0.66–0.71 EPS</w:t>
      </w:r>
      <w:r>
        <w:t xml:space="preserve">, i.e. roughly in line with the guide midpoint. ON has beaten in three of the last four quarters (Q1 came in at $1.51B / $0.64 vs. a $0.61 consensus). The setup favors a modest beat-and-hold-or-raise, but the reaction hinges on Q3 guidance and the qualitative items below.</w:t>
      </w:r>
    </w:p>
    <w:p>
      <w:pPr>
        <w:pStyle w:val="BodyText"/>
      </w:pPr>
      <w:r>
        <w:rPr>
          <w:b/>
          <w:bCs/>
        </w:rPr>
        <w:t xml:space="preserve">End-market guide for Q2:</w:t>
      </w:r>
      <w:r>
        <w:t xml:space="preserve"> </w:t>
      </w:r>
      <w:r>
        <w:t xml:space="preserve">Automotive ~flat QoQ; Industrial up mid-single-digits; "Other" (which houses AI data center) up mid-teens QoQ.</w:t>
      </w:r>
    </w:p>
    <w:p>
      <w:r>
        <w:pict>
          <v:rect style="width:0;height:1.5pt" o:hralign="center" o:hrstd="t" o:hr="t"/>
        </w:pict>
      </w:r>
    </w:p>
    <w:bookmarkEnd w:id="12"/>
    <w:bookmarkStart w:id="13" w:name="X5314cb9e6c250ff6c7492c5f52dc692bda5a0c7"/>
    <w:p>
      <w:pPr>
        <w:pStyle w:val="Heading2"/>
      </w:pPr>
      <w:r>
        <w:t xml:space="preserve">The Dominant Debate: The Synaptics Acquisition</w:t>
      </w:r>
    </w:p>
    <w:p>
      <w:pPr>
        <w:pStyle w:val="FirstParagraph"/>
      </w:pPr>
      <w:r>
        <w:t xml:space="preserve">This is the swing factor for the stock. On June 25, onsemi agreed to acquire</w:t>
      </w:r>
      <w:r>
        <w:t xml:space="preserve"> </w:t>
      </w:r>
      <w:r>
        <w:rPr>
          <w:b/>
          <w:bCs/>
        </w:rPr>
        <w:t xml:space="preserve">Synaptics in an all-stock deal (~$7B enterprise value; 1.35 ON shares per SYNA share)</w:t>
      </w:r>
      <w:r>
        <w:t xml:space="preserve"> </w:t>
      </w:r>
      <w:r>
        <w:t xml:space="preserve">to push into "physical AI"/edge AI, connectivity, and human-machine interface. Key facts and the bear/bull tension:</w:t>
      </w:r>
    </w:p>
    <w:p>
      <w:pPr>
        <w:pStyle w:val="Compact"/>
        <w:numPr>
          <w:ilvl w:val="0"/>
          <w:numId w:val="1003"/>
        </w:numPr>
      </w:pPr>
      <w:r>
        <w:rPr>
          <w:b/>
          <w:bCs/>
        </w:rPr>
        <w:t xml:space="preserve">Strategic pitch:</w:t>
      </w:r>
      <w:r>
        <w:t xml:space="preserve"> </w:t>
      </w:r>
      <w:r>
        <w:t xml:space="preserve">Expands TAM by ~</w:t>
      </w:r>
      <m:oMath>
        <m:r>
          <m:t>30</m:t>
        </m:r>
        <m:r>
          <m:t>B</m:t>
        </m:r>
        <m:r>
          <m:rPr>
            <m:sty m:val="p"/>
          </m:rPr>
          <m:t>(</m:t>
        </m:r>
        <m:r>
          <m:t>t</m:t>
        </m:r>
        <m:r>
          <m:t>o</m:t>
        </m:r>
        <m:r>
          <m:t> </m:t>
        </m:r>
      </m:oMath>
      <w:r>
        <w:t xml:space="preserve">243B by 2030); complementary with "no product overlap"; expected to be</w:t>
      </w:r>
      <w:r>
        <w:t xml:space="preserve"> </w:t>
      </w:r>
      <w:r>
        <w:rPr>
          <w:b/>
          <w:bCs/>
        </w:rPr>
        <w:t xml:space="preserve">accretive to non-GAAP EPS within ~18 months</w:t>
      </w:r>
      <w:r>
        <w:t xml:space="preserve"> </w:t>
      </w:r>
      <w:r>
        <w:t xml:space="preserve">with **~$200M of annual synergies**; targeted close</w:t>
      </w:r>
      <w:r>
        <w:t xml:space="preserve"> </w:t>
      </w:r>
      <w:r>
        <w:rPr>
          <w:b/>
          <w:bCs/>
        </w:rPr>
        <w:t xml:space="preserve">mid-2027</w:t>
      </w:r>
      <w:r>
        <w:t xml:space="preserve">.</w:t>
      </w:r>
    </w:p>
    <w:p>
      <w:pPr>
        <w:pStyle w:val="Compact"/>
        <w:numPr>
          <w:ilvl w:val="0"/>
          <w:numId w:val="1003"/>
        </w:numPr>
      </w:pPr>
      <w:r>
        <w:rPr>
          <w:b/>
          <w:bCs/>
        </w:rPr>
        <w:t xml:space="preserve">Market reaction:</w:t>
      </w:r>
      <w:r>
        <w:t xml:space="preserve"> </w:t>
      </w:r>
      <w:r>
        <w:t xml:space="preserve">Shares cratered ~24% the week of the announcement — the worst week since the 2008/2020 era. The concerns: (1)</w:t>
      </w:r>
      <w:r>
        <w:t xml:space="preserve"> </w:t>
      </w:r>
      <w:r>
        <w:rPr>
          <w:b/>
          <w:bCs/>
        </w:rPr>
        <w:t xml:space="preserve">dilution</w:t>
      </w:r>
      <w:r>
        <w:t xml:space="preserve"> </w:t>
      </w:r>
      <w:r>
        <w:t xml:space="preserve">from an all-stock deal, (2)</w:t>
      </w:r>
      <w:r>
        <w:t xml:space="preserve"> </w:t>
      </w:r>
      <w:r>
        <w:rPr>
          <w:b/>
          <w:bCs/>
        </w:rPr>
        <w:t xml:space="preserve">strategic distraction</w:t>
      </w:r>
      <w:r>
        <w:t xml:space="preserve"> </w:t>
      </w:r>
      <w:r>
        <w:t xml:space="preserve">away from the red-hot AI data center power opportunity where capital is concentrating, (3) added</w:t>
      </w:r>
      <w:r>
        <w:t xml:space="preserve"> </w:t>
      </w:r>
      <w:r>
        <w:rPr>
          <w:b/>
          <w:bCs/>
        </w:rPr>
        <w:t xml:space="preserve">complexity</w:t>
      </w:r>
      <w:r>
        <w:t xml:space="preserve"> </w:t>
      </w:r>
      <w:r>
        <w:t xml:space="preserve">to an already-transforming business, and (4) skepticism the synergies materialize.</w:t>
      </w:r>
      <w:r>
        <w:t xml:space="preserve"> </w:t>
      </w:r>
      <w:r>
        <w:rPr>
          <w:b/>
          <w:bCs/>
        </w:rPr>
        <w:t xml:space="preserve">TD Cowen downgraded to Hold with a $110 target</w:t>
      </w:r>
      <w:r>
        <w:t xml:space="preserve"> </w:t>
      </w:r>
      <w:r>
        <w:t xml:space="preserve">on the news.</w:t>
      </w:r>
    </w:p>
    <w:p>
      <w:pPr>
        <w:pStyle w:val="FirstParagraph"/>
      </w:pPr>
      <w:r>
        <w:rPr>
          <w:b/>
          <w:bCs/>
        </w:rPr>
        <w:t xml:space="preserve">What to listen for:</w:t>
      </w:r>
      <w:r>
        <w:t xml:space="preserve"> </w:t>
      </w:r>
      <w:r>
        <w:t xml:space="preserve">an updated/expanded rationale, any change to accretion math or synergy targets, integration/leadership plans, financing and share-count impact, whether it changes the buyback cadence, and — critically — reassurance that the core AI/power roadmap is</w:t>
      </w:r>
      <w:r>
        <w:t xml:space="preserve"> </w:t>
      </w:r>
      <w:r>
        <w:rPr>
          <w:i/>
          <w:iCs/>
        </w:rPr>
        <w:t xml:space="preserve">not</w:t>
      </w:r>
      <w:r>
        <w:t xml:space="preserve"> </w:t>
      </w:r>
      <w:r>
        <w:t xml:space="preserve">being deprioritized. CEO Hassane El-Khoury has already been on the defensive publicly; the call is his chance to reframe.</w:t>
      </w:r>
    </w:p>
    <w:p>
      <w:r>
        <w:pict>
          <v:rect style="width:0;height:1.5pt" o:hralign="center" o:hrstd="t" o:hr="t"/>
        </w:pict>
      </w:r>
    </w:p>
    <w:bookmarkEnd w:id="13"/>
    <w:bookmarkStart w:id="14" w:name="the-bull-engine-ai-data-center"/>
    <w:p>
      <w:pPr>
        <w:pStyle w:val="Heading2"/>
      </w:pPr>
      <w:r>
        <w:t xml:space="preserve">The Bull Engine: AI Data Center</w:t>
      </w:r>
    </w:p>
    <w:p>
      <w:pPr>
        <w:pStyle w:val="FirstParagraph"/>
      </w:pPr>
      <w:r>
        <w:t xml:space="preserve">This is what drove the 2026 re-rating and remains the most important growth vector:</w:t>
      </w:r>
    </w:p>
    <w:p>
      <w:pPr>
        <w:pStyle w:val="Compact"/>
        <w:numPr>
          <w:ilvl w:val="0"/>
          <w:numId w:val="1004"/>
        </w:numPr>
      </w:pPr>
      <w:r>
        <w:t xml:space="preserve">Q1 AI data center revenue grew</w:t>
      </w:r>
      <w:r>
        <w:t xml:space="preserve"> </w:t>
      </w:r>
      <w:r>
        <w:rPr>
          <w:b/>
          <w:bCs/>
        </w:rPr>
        <w:t xml:space="preserve">&gt;30% sequentially</w:t>
      </w:r>
      <w:r>
        <w:t xml:space="preserve"> </w:t>
      </w:r>
      <w:r>
        <w:t xml:space="preserve">(nearly double the ~high-teens they'd modeled) and</w:t>
      </w:r>
      <w:r>
        <w:t xml:space="preserve"> </w:t>
      </w:r>
      <w:r>
        <w:rPr>
          <w:b/>
          <w:bCs/>
        </w:rPr>
        <w:t xml:space="preserve">doubled YoY</w:t>
      </w:r>
      <w:r>
        <w:t xml:space="preserve">; management now expects</w:t>
      </w:r>
      <w:r>
        <w:t xml:space="preserve"> </w:t>
      </w:r>
      <w:r>
        <w:rPr>
          <w:b/>
          <w:bCs/>
        </w:rPr>
        <w:t xml:space="preserve">2026 AI data center revenue to double vs. 2025</w:t>
      </w:r>
      <w:r>
        <w:t xml:space="preserve"> </w:t>
      </w:r>
      <w:r>
        <w:t xml:space="preserve">(off a ~$250M base in 2025).</w:t>
      </w:r>
    </w:p>
    <w:p>
      <w:pPr>
        <w:pStyle w:val="Compact"/>
        <w:numPr>
          <w:ilvl w:val="0"/>
          <w:numId w:val="1004"/>
        </w:numPr>
      </w:pPr>
      <w:r>
        <w:t xml:space="preserve">Positioned as</w:t>
      </w:r>
      <w:r>
        <w:t xml:space="preserve"> </w:t>
      </w:r>
      <w:r>
        <w:rPr>
          <w:b/>
          <w:bCs/>
        </w:rPr>
        <w:t xml:space="preserve">the only broad-based U.S. power semiconductor supplier</w:t>
      </w:r>
      <w:r>
        <w:t xml:space="preserve"> </w:t>
      </w:r>
      <w:r>
        <w:t xml:space="preserve">across the full power tree — from grid/high-voltage conversion to the point-of-load at the XPU — engaged with all major hyperscalers and power-supply vendors (e.g., 30+ programs with Flex Power).</w:t>
      </w:r>
    </w:p>
    <w:p>
      <w:pPr>
        <w:pStyle w:val="Compact"/>
        <w:numPr>
          <w:ilvl w:val="0"/>
          <w:numId w:val="1004"/>
        </w:numPr>
      </w:pPr>
      <w:r>
        <w:t xml:space="preserve">Content leverage: management framed ~</w:t>
      </w:r>
      <m:oMath>
        <m:r>
          <m:t>9</m:t>
        </m:r>
        <m:r>
          <m:rPr>
            <m:sty m:val="p"/>
          </m:rPr>
          <m:t>,</m:t>
        </m:r>
        <m:r>
          <m:t>500</m:t>
        </m:r>
        <m:r>
          <m:t>o</m:t>
        </m:r>
        <m:r>
          <m:t>f</m:t>
        </m:r>
        <m:r>
          <m:t>c</m:t>
        </m:r>
        <m:r>
          <m:t>o</m:t>
        </m:r>
        <m:r>
          <m:t>n</m:t>
        </m:r>
        <m:r>
          <m:t>t</m:t>
        </m:r>
        <m:r>
          <m:t>e</m:t>
        </m:r>
        <m:r>
          <m:t>n</m:t>
        </m:r>
        <m:r>
          <m:t>t</m:t>
        </m:r>
        <m:r>
          <m:t>i</m:t>
        </m:r>
        <m:r>
          <m:t>n</m:t>
        </m:r>
        <m:r>
          <m:t>a</m:t>
        </m:r>
        <m:r>
          <m:t>120</m:t>
        </m:r>
        <m:r>
          <m:t>k</m:t>
        </m:r>
        <m:r>
          <m:t>W</m:t>
        </m:r>
        <m:r>
          <m:t>r</m:t>
        </m:r>
        <m:r>
          <m:t>a</m:t>
        </m:r>
        <m:r>
          <m:t>c</m:t>
        </m:r>
        <m:r>
          <m:t>k</m:t>
        </m:r>
        <m:r>
          <m:t>t</m:t>
        </m:r>
        <m:r>
          <m:t>o</m:t>
        </m:r>
        <m:r>
          <m:t>d</m:t>
        </m:r>
        <m:r>
          <m:t>a</m:t>
        </m:r>
        <m:r>
          <m:t>y</m:t>
        </m:r>
        <m:r>
          <m:t>s</m:t>
        </m:r>
        <m:r>
          <m:t>c</m:t>
        </m:r>
        <m:r>
          <m:t>a</m:t>
        </m:r>
        <m:r>
          <m:t>l</m:t>
        </m:r>
        <m:r>
          <m:t>i</m:t>
        </m:r>
        <m:r>
          <m:t>n</m:t>
        </m:r>
        <m:r>
          <m:t>g</m:t>
        </m:r>
        <m:r>
          <m:t>t</m:t>
        </m:r>
        <m:r>
          <m:t>o</m:t>
        </m:r>
        <m:r>
          <m:t> </m:t>
        </m:r>
      </m:oMath>
      <w:r>
        <w:t xml:space="preserve">115,000 in an 800V/HVDC rack.</w:t>
      </w:r>
    </w:p>
    <w:p>
      <w:pPr>
        <w:pStyle w:val="Compact"/>
        <w:numPr>
          <w:ilvl w:val="0"/>
          <w:numId w:val="1004"/>
        </w:numPr>
      </w:pPr>
      <w:r>
        <w:t xml:space="preserve">Adjacent "AI halo": energy storage / microgrid business guided to</w:t>
      </w:r>
      <w:r>
        <w:t xml:space="preserve"> </w:t>
      </w:r>
      <w:r>
        <w:rPr>
          <w:b/>
          <w:bCs/>
        </w:rPr>
        <w:t xml:space="preserve">&gt;40% YoY growth in 2026</w:t>
      </w:r>
      <w:r>
        <w:t xml:space="preserve"> </w:t>
      </w:r>
      <w:r>
        <w:t xml:space="preserve">with share approaching 60%.</w:t>
      </w:r>
    </w:p>
    <w:p>
      <w:pPr>
        <w:pStyle w:val="Compact"/>
        <w:numPr>
          <w:ilvl w:val="0"/>
          <w:numId w:val="1004"/>
        </w:numPr>
      </w:pPr>
      <w:r>
        <w:t xml:space="preserve">Watch the</w:t>
      </w:r>
      <w:r>
        <w:t xml:space="preserve"> </w:t>
      </w:r>
      <w:r>
        <w:rPr>
          <w:b/>
          <w:bCs/>
        </w:rPr>
        <w:t xml:space="preserve">GaN and Vcore</w:t>
      </w:r>
      <w:r>
        <w:t xml:space="preserve"> </w:t>
      </w:r>
      <w:r>
        <w:t xml:space="preserve">roadmap: GaN design funnel &gt;$1.5B with revenue starting</w:t>
      </w:r>
      <w:r>
        <w:t xml:space="preserve"> </w:t>
      </w:r>
      <w:r>
        <w:rPr>
          <w:b/>
          <w:bCs/>
        </w:rPr>
        <w:t xml:space="preserve">2027</w:t>
      </w:r>
      <w:r>
        <w:t xml:space="preserve">; vGaN (NexGen) sampling; Vcore (Aura) multiphase controllers targeting server CPU sockets.</w:t>
      </w:r>
    </w:p>
    <w:p>
      <w:pPr>
        <w:pStyle w:val="FirstParagraph"/>
      </w:pPr>
      <w:r>
        <w:rPr>
          <w:b/>
          <w:bCs/>
        </w:rPr>
        <w:t xml:space="preserve">Key question:</w:t>
      </w:r>
      <w:r>
        <w:t xml:space="preserve"> </w:t>
      </w:r>
      <w:r>
        <w:t xml:space="preserve">Do they raise the "double in 2026" framing again? A raise would be a strong offset to Synaptics angst; a mere reiteration may disappoint the more bullish holders.</w:t>
      </w:r>
    </w:p>
    <w:p>
      <w:r>
        <w:pict>
          <v:rect style="width:0;height:1.5pt" o:hralign="center" o:hrstd="t" o:hr="t"/>
        </w:pict>
      </w:r>
    </w:p>
    <w:bookmarkEnd w:id="14"/>
    <w:bookmarkStart w:id="15" w:name="X3cbdf11e0b0c625b66e5b49ecde09d18ec6f132"/>
    <w:p>
      <w:pPr>
        <w:pStyle w:val="Heading2"/>
      </w:pPr>
      <w:r>
        <w:t xml:space="preserve">The Cyclical Story: Auto &amp; Industrial Recovery</w:t>
      </w:r>
    </w:p>
    <w:p>
      <w:pPr>
        <w:pStyle w:val="Compact"/>
        <w:numPr>
          <w:ilvl w:val="0"/>
          <w:numId w:val="1005"/>
        </w:numPr>
      </w:pPr>
      <w:r>
        <w:t xml:space="preserve">Management called Q1 a</w:t>
      </w:r>
      <w:r>
        <w:t xml:space="preserve"> </w:t>
      </w:r>
      <w:r>
        <w:rPr>
          <w:b/>
          <w:bCs/>
        </w:rPr>
        <w:t xml:space="preserve">"clear inflection point"</w:t>
      </w:r>
      <w:r>
        <w:t xml:space="preserve"> </w:t>
      </w:r>
      <w:r>
        <w:t xml:space="preserve">— cycle bottom is in, lead times stretching (23→26 weeks), more expedites/in-lead-time orders, book-to-bill improving.</w:t>
      </w:r>
    </w:p>
    <w:p>
      <w:pPr>
        <w:pStyle w:val="Compact"/>
        <w:numPr>
          <w:ilvl w:val="0"/>
          <w:numId w:val="1005"/>
        </w:numPr>
      </w:pPr>
      <w:r>
        <w:rPr>
          <w:b/>
          <w:bCs/>
        </w:rPr>
        <w:t xml:space="preserve">Automotive</w:t>
      </w:r>
      <w:r>
        <w:t xml:space="preserve"> </w:t>
      </w:r>
      <w:r>
        <w:t xml:space="preserve">($797M in Q1) grew ~5% YoY — the first YoY growth after</w:t>
      </w:r>
      <w:r>
        <w:t xml:space="preserve"> </w:t>
      </w:r>
      <w:r>
        <w:rPr>
          <w:b/>
          <w:bCs/>
        </w:rPr>
        <w:t xml:space="preserve">seven quarters of decline</w:t>
      </w:r>
      <w:r>
        <w:t xml:space="preserve"> </w:t>
      </w:r>
      <w:r>
        <w:t xml:space="preserve">— but they're "shipping to natural demand" with</w:t>
      </w:r>
      <w:r>
        <w:t xml:space="preserve"> </w:t>
      </w:r>
      <w:r>
        <w:rPr>
          <w:b/>
          <w:bCs/>
        </w:rPr>
        <w:t xml:space="preserve">no replenishment/restock yet</w:t>
      </w:r>
      <w:r>
        <w:t xml:space="preserve">. China EV is the standout (SiC ~55% share of new EV models at the Beijing show; new IGBT traction wins; 900V platform wins with Geely/NIO). Europe auto still sideways.</w:t>
      </w:r>
    </w:p>
    <w:p>
      <w:pPr>
        <w:pStyle w:val="Compact"/>
        <w:numPr>
          <w:ilvl w:val="0"/>
          <w:numId w:val="1005"/>
        </w:numPr>
      </w:pPr>
      <w:r>
        <w:rPr>
          <w:b/>
          <w:bCs/>
        </w:rPr>
        <w:t xml:space="preserve">Industrial</w:t>
      </w:r>
      <w:r>
        <w:t xml:space="preserve"> </w:t>
      </w:r>
      <w:r>
        <w:t xml:space="preserve">($417M) beating expectations, up sequentially two quarters in a row underneath Chinese New Year seasonality.</w:t>
      </w:r>
    </w:p>
    <w:p>
      <w:pPr>
        <w:pStyle w:val="Compact"/>
        <w:numPr>
          <w:ilvl w:val="0"/>
          <w:numId w:val="1005"/>
        </w:numPr>
      </w:pPr>
      <w:r>
        <w:rPr>
          <w:b/>
          <w:bCs/>
        </w:rPr>
        <w:t xml:space="preserve">What to watch:</w:t>
      </w:r>
      <w:r>
        <w:t xml:space="preserve"> </w:t>
      </w:r>
      <w:r>
        <w:t xml:space="preserve">Any sign the auto restocking cycle is beginning (a potential 2H upside lever), commentary on allocation/shortages in constrained technologies, and the</w:t>
      </w:r>
      <w:r>
        <w:t xml:space="preserve"> </w:t>
      </w:r>
      <w:r>
        <w:rPr>
          <w:b/>
          <w:bCs/>
        </w:rPr>
        <w:t xml:space="preserve">"2H &gt; 1H"</w:t>
      </w:r>
      <w:r>
        <w:t xml:space="preserve"> </w:t>
      </w:r>
      <w:r>
        <w:t xml:space="preserve">framing management laid out.</w:t>
      </w:r>
    </w:p>
    <w:p>
      <w:r>
        <w:pict>
          <v:rect style="width:0;height:1.5pt" o:hralign="center" o:hrstd="t" o:hr="t"/>
        </w:pict>
      </w:r>
    </w:p>
    <w:bookmarkEnd w:id="15"/>
    <w:bookmarkStart w:id="16" w:name="margins--model--the-show-me-item"/>
    <w:p>
      <w:pPr>
        <w:pStyle w:val="Heading2"/>
      </w:pPr>
      <w:r>
        <w:t xml:space="preserve">Margins &amp; Model — The Show-Me Item</w:t>
      </w:r>
    </w:p>
    <w:p>
      <w:pPr>
        <w:pStyle w:val="Compact"/>
        <w:numPr>
          <w:ilvl w:val="0"/>
          <w:numId w:val="1006"/>
        </w:numPr>
      </w:pPr>
      <w:r>
        <w:t xml:space="preserve">Non-GAAP GM has expanded three straight quarters to 38.5%; management guides</w:t>
      </w:r>
      <w:r>
        <w:t xml:space="preserve"> </w:t>
      </w:r>
      <w:r>
        <w:rPr>
          <w:b/>
          <w:bCs/>
        </w:rPr>
        <w:t xml:space="preserve">sequential expansion throughout 2026</w:t>
      </w:r>
      <w:r>
        <w:t xml:space="preserve"> </w:t>
      </w:r>
      <w:r>
        <w:t xml:space="preserve">and hinted at</w:t>
      </w:r>
      <w:r>
        <w:t xml:space="preserve"> </w:t>
      </w:r>
      <w:r>
        <w:rPr>
          <w:b/>
          <w:bCs/>
        </w:rPr>
        <w:t xml:space="preserve">"larger step functions"</w:t>
      </w:r>
      <w:r>
        <w:t xml:space="preserve"> </w:t>
      </w:r>
      <w:r>
        <w:t xml:space="preserve">ahead vs. Q1's small step.</w:t>
      </w:r>
    </w:p>
    <w:p>
      <w:pPr>
        <w:pStyle w:val="Compact"/>
        <w:numPr>
          <w:ilvl w:val="0"/>
          <w:numId w:val="1006"/>
        </w:numPr>
      </w:pPr>
      <w:r>
        <w:t xml:space="preserve">Levers: utilization (~25–30 bps per point; currently 77%, room to low-90s at +25–30% revenue), Fab Right actions (~200 bps), favorable mix (Treo at 60–70% GM; ~200 bps), and 2022 fab divestitures (~200 bps into '27) — a path they frame toward</w:t>
      </w:r>
      <w:r>
        <w:t xml:space="preserve"> </w:t>
      </w:r>
      <w:r>
        <w:rPr>
          <w:b/>
          <w:bCs/>
        </w:rPr>
        <w:t xml:space="preserve">50%+ long term</w:t>
      </w:r>
      <w:r>
        <w:t xml:space="preserve">.</w:t>
      </w:r>
    </w:p>
    <w:p>
      <w:pPr>
        <w:pStyle w:val="Compact"/>
        <w:numPr>
          <w:ilvl w:val="0"/>
          <w:numId w:val="1006"/>
        </w:numPr>
      </w:pPr>
      <w:r>
        <w:rPr>
          <w:b/>
          <w:bCs/>
        </w:rPr>
        <w:t xml:space="preserve">Near-term watch item:</w:t>
      </w:r>
      <w:r>
        <w:t xml:space="preserve"> </w:t>
      </w:r>
      <w:r>
        <w:t xml:space="preserve">input costs are already hitting the P&amp;L, while offsetting</w:t>
      </w:r>
      <w:r>
        <w:t xml:space="preserve"> </w:t>
      </w:r>
      <w:r>
        <w:rPr>
          <w:b/>
          <w:bCs/>
        </w:rPr>
        <w:t xml:space="preserve">price increases don't flow through until 2H</w:t>
      </w:r>
      <w:r>
        <w:t xml:space="preserve"> </w:t>
      </w:r>
      <w:r>
        <w:t xml:space="preserve">— so gross-margin cadence and the pricing commentary matter for the Q3 guide.</w:t>
      </w:r>
    </w:p>
    <w:p>
      <w:r>
        <w:pict>
          <v:rect style="width:0;height:1.5pt" o:hralign="center" o:hrstd="t" o:hr="t"/>
        </w:pict>
      </w:r>
    </w:p>
    <w:bookmarkEnd w:id="16"/>
    <w:bookmarkStart w:id="17" w:name="capital-return--housekeeping"/>
    <w:p>
      <w:pPr>
        <w:pStyle w:val="Heading2"/>
      </w:pPr>
      <w:r>
        <w:t xml:space="preserve">Capital Return &amp; Housekeeping</w:t>
      </w:r>
    </w:p>
    <w:p>
      <w:pPr>
        <w:pStyle w:val="Compact"/>
        <w:numPr>
          <w:ilvl w:val="0"/>
          <w:numId w:val="1007"/>
        </w:numPr>
      </w:pPr>
      <w:r>
        <w:t xml:space="preserve">ON returned</w:t>
      </w:r>
      <w:r>
        <w:t xml:space="preserve"> </w:t>
      </w:r>
      <m:oMath>
        <m:r>
          <m:t>346</m:t>
        </m:r>
        <m:r>
          <m:t>M</m:t>
        </m:r>
        <m:r>
          <m:t>v</m:t>
        </m:r>
        <m:r>
          <m:t>i</m:t>
        </m:r>
        <m:r>
          <m:t>a</m:t>
        </m:r>
        <m:r>
          <m:t>b</m:t>
        </m:r>
        <m:r>
          <m:t>u</m:t>
        </m:r>
        <m:r>
          <m:t>y</m:t>
        </m:r>
        <m:r>
          <m:t>b</m:t>
        </m:r>
        <m:r>
          <m:t>a</m:t>
        </m:r>
        <m:r>
          <m:t>c</m:t>
        </m:r>
        <m:r>
          <m:t>k</m:t>
        </m:r>
        <m:r>
          <m:t>i</m:t>
        </m:r>
        <m:r>
          <m:t>n</m:t>
        </m:r>
        <m:r>
          <m:t>Q</m:t>
        </m:r>
        <m:r>
          <m:t>1</m:t>
        </m:r>
        <m:r>
          <m:rPr>
            <m:sty m:val="p"/>
          </m:rPr>
          <m:t>(</m:t>
        </m:r>
        <m:r>
          <m:t> </m:t>
        </m:r>
        <m:r>
          <m:t>160</m:t>
        </m:r>
      </m:oMath>
      <w:r>
        <w:rPr>
          <w:b/>
          <w:bCs/>
        </w:rPr>
        <w:t xml:space="preserve">60.54</w:t>
      </w:r>
      <w:r>
        <w:t xml:space="preserve">; framework is ~100% of FCF over time, with opportunistic flex on dislocations. With the stock now in the low-$80s (well off highs), watch whether they leaned in again — but note the all-stock Synaptics deal complicates the capital-return narrative.</w:t>
      </w:r>
    </w:p>
    <w:p>
      <w:pPr>
        <w:pStyle w:val="Compact"/>
        <w:numPr>
          <w:ilvl w:val="0"/>
          <w:numId w:val="1007"/>
        </w:numPr>
      </w:pPr>
      <w:r>
        <w:t xml:space="preserve">Balance sheet: ~$2.4B cash / $3.9B liquidity; inventory 201 days (incl. 75 days strategic, being drawn down over ~2 years); distribution channel steady at ~10.8 weeks.</w:t>
      </w:r>
    </w:p>
    <w:p>
      <w:pPr>
        <w:pStyle w:val="Compact"/>
        <w:numPr>
          <w:ilvl w:val="0"/>
          <w:numId w:val="1007"/>
        </w:numPr>
      </w:pPr>
      <w:r>
        <w:t xml:space="preserve">Non-core exits: ~$300M annualized program, largely complete by end-2026 (~5% growth headwind embedded in the algorithm).</w:t>
      </w:r>
    </w:p>
    <w:p>
      <w:pPr>
        <w:pStyle w:val="Compact"/>
        <w:numPr>
          <w:ilvl w:val="0"/>
          <w:numId w:val="1007"/>
        </w:numPr>
      </w:pPr>
      <w:r>
        <w:rPr>
          <w:b/>
          <w:bCs/>
        </w:rPr>
        <w:t xml:space="preserve">Note on insider activity:</w:t>
      </w:r>
      <w:r>
        <w:t xml:space="preserve"> </w:t>
      </w:r>
      <w:r>
        <w:t xml:space="preserve">press coverage flagged CFO Thad Trent share sales earlier in 2026 (Feb ~</w:t>
      </w:r>
      <m:oMath>
        <m:r>
          <m:t>71</m:t>
        </m:r>
        <m:r>
          <m:rPr>
            <m:sty m:val="p"/>
          </m:rPr>
          <m:t>,</m:t>
        </m:r>
        <m:r>
          <m:t>A</m:t>
        </m:r>
        <m:r>
          <m:t>p</m:t>
        </m:r>
        <m:r>
          <m:t>r</m:t>
        </m:r>
        <m:r>
          <m:t>i</m:t>
        </m:r>
        <m:r>
          <m:t>l</m:t>
        </m:r>
        <m:r>
          <m:t> </m:t>
        </m:r>
      </m:oMath>
      <w:r>
        <w:t xml:space="preserve">93) — likely 10b5-1/routine, but a sentiment talking point given the stock's volatility.</w:t>
      </w:r>
    </w:p>
    <w:p>
      <w:r>
        <w:pict>
          <v:rect style="width:0;height:1.5pt" o:hralign="center" o:hrstd="t" o:hr="t"/>
        </w:pict>
      </w:r>
    </w:p>
    <w:bookmarkEnd w:id="17"/>
    <w:bookmarkStart w:id="18" w:name="bottom-line--what-would-move-the-stock"/>
    <w:p>
      <w:pPr>
        <w:pStyle w:val="Heading2"/>
      </w:pPr>
      <w:r>
        <w:t xml:space="preserve">Bottom Line — What Would Move the Stock</w:t>
      </w:r>
    </w:p>
    <w:p>
      <w:pPr>
        <w:pStyle w:val="FirstParagraph"/>
      </w:pPr>
      <w:r>
        <w:rPr>
          <w:b/>
          <w:bCs/>
        </w:rPr>
        <w:t xml:space="preserve">Bullish scenario:</w:t>
      </w:r>
      <w:r>
        <w:t xml:space="preserve"> </w:t>
      </w:r>
      <w:r>
        <w:t xml:space="preserve">In-line-to-better Q2, a Q3 guide showing 2H acceleration, a</w:t>
      </w:r>
      <w:r>
        <w:t xml:space="preserve"> </w:t>
      </w:r>
      <w:r>
        <w:rPr>
          <w:i/>
          <w:iCs/>
        </w:rPr>
        <w:t xml:space="preserve">raise</w:t>
      </w:r>
      <w:r>
        <w:t xml:space="preserve"> </w:t>
      </w:r>
      <w:r>
        <w:t xml:space="preserve">to the AI data center "double" framing, and a credible, confident defense of Synaptics (clear synergy path, no core distraction). That could re-anchor the recovery + AI thesis after the deal-driven drawdown.</w:t>
      </w:r>
    </w:p>
    <w:p>
      <w:pPr>
        <w:pStyle w:val="BodyText"/>
      </w:pPr>
      <w:r>
        <w:rPr>
          <w:b/>
          <w:bCs/>
        </w:rPr>
        <w:t xml:space="preserve">Bearish scenario:</w:t>
      </w:r>
      <w:r>
        <w:t xml:space="preserve"> </w:t>
      </w:r>
      <w:r>
        <w:t xml:space="preserve">Any Q3 guide wobble, softer-than-hoped margin step-up (pricing lag), auto staying "flat/no restock," or muddled Synaptics messaging — against a still-elevated multiple and shaken positioning — likely extends the sell-off.</w:t>
      </w:r>
    </w:p>
    <w:p>
      <w:pPr>
        <w:pStyle w:val="BodyText"/>
      </w:pPr>
      <w:r>
        <w:rPr>
          <w:b/>
          <w:bCs/>
        </w:rPr>
        <w:t xml:space="preserve">Net:</w:t>
      </w:r>
      <w:r>
        <w:t xml:space="preserve"> </w:t>
      </w:r>
      <w:r>
        <w:t xml:space="preserve">The numbers probably clear a beatable bar; the</w:t>
      </w:r>
      <w:r>
        <w:t xml:space="preserve"> </w:t>
      </w:r>
      <w:r>
        <w:rPr>
          <w:i/>
          <w:iCs/>
        </w:rPr>
        <w:t xml:space="preserve">narrative</w:t>
      </w:r>
      <w:r>
        <w:t xml:space="preserve"> </w:t>
      </w:r>
      <w:r>
        <w:t xml:space="preserve">— especially reconciling the Synaptics pivot with the AI data center growth story — is what determines the print's outcome. Sell-side is split (targets have ranged from the ~</w:t>
      </w:r>
      <m:oMath>
        <m:r>
          <m:t>60</m:t>
        </m:r>
        <m:r>
          <m:t>s</m:t>
        </m:r>
        <m:r>
          <m:t>t</m:t>
        </m:r>
        <m:r>
          <m:t>o</m:t>
        </m:r>
        <m:r>
          <m:t> </m:t>
        </m:r>
      </m:oMath>
      <w:r>
        <w:t xml:space="preserve">110), which itself signals how contested the stock is going in.</w:t>
      </w:r>
    </w:p>
    <w:p>
      <w:pPr>
        <w:pStyle w:val="BodyText"/>
      </w:pPr>
      <w:r>
        <w:rPr>
          <w:i/>
          <w:iCs/>
        </w:rPr>
        <w:t xml:space="preserve">Watch items in order of importance: (1) Synaptics rationale/integration/dilution, (2) AI data center guidance revision, (3) Q3 revenue + gross-margin guide, (4) auto restock signals, (5) buyback cadence.</w:t>
      </w:r>
    </w:p>
    <w:p>
      <w:r>
        <w:pict>
          <v:rect style="width:0;height:1.5pt" o:hralign="center" o:hrstd="t" o:hr="t"/>
        </w:pict>
      </w:r>
    </w:p>
    <w:p>
      <w:pPr>
        <w:pStyle w:val="FirstParagraph"/>
      </w:pPr>
      <w:r>
        <w:rPr>
          <w:i/>
          <w:iCs/>
        </w:rPr>
        <w:t xml:space="preserve">Preview based on onsemi's Q1 2026 earnings call and release, the Q2 2025 comparison release, the June 25 Synaptics acquisition disclosures, recent news flow, and public consensus/price data. Figures are non-GAAP unless noted. This is informational research, not investment advice.</w:t>
      </w:r>
    </w:p>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2026-08-03T00:16:14Z</dcterms:created>
  <dcterms:modified xsi:type="dcterms:W3CDTF">2026-08-03T00:16:14Z</dcterms:modified>
</cp:coreProperties>
</file>

<file path=docProps/custom.xml><?xml version="1.0" encoding="utf-8"?>
<Properties xmlns="http://schemas.openxmlformats.org/officeDocument/2006/custom-properties" xmlns:vt="http://schemas.openxmlformats.org/officeDocument/2006/docPropsVTypes"/>
</file>