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d5d8bc93c2df62cd3e416cb5dc1fa22da953162"/>
    <w:p>
      <w:pPr>
        <w:pStyle w:val="Heading1"/>
      </w:pPr>
      <w:r>
        <w:t xml:space="preserve">ON Semiconductor (ON) — Q2 2026 Earnings Preview</w:t>
      </w:r>
    </w:p>
    <w:p>
      <w:pPr>
        <w:pStyle w:val="FirstParagraph"/>
      </w:pPr>
      <w:r>
        <w:rPr>
          <w:b/>
          <w:bCs/>
        </w:rPr>
        <w:t xml:space="preserve">Report Date:</w:t>
      </w:r>
      <w:r>
        <w:t xml:space="preserve"> </w:t>
      </w:r>
      <w:r>
        <w:t xml:space="preserve">Monday, August 3, 2026 (after market close) |</w:t>
      </w:r>
      <w:r>
        <w:t xml:space="preserve"> </w:t>
      </w:r>
      <w:r>
        <w:rPr>
          <w:b/>
          <w:bCs/>
        </w:rPr>
        <w:t xml:space="preserve">Fiscal Period:</w:t>
      </w:r>
      <w:r>
        <w:t xml:space="preserve"> </w:t>
      </w:r>
      <w:r>
        <w:t xml:space="preserve">Q2 2026 (quarter ended ~July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ON heads into this report as one of the more volatile large-cap semiconductor stories of 2026. The stock rallied hard from the low-$60s in April to above</w:t>
      </w:r>
      <w:r>
        <w:t xml:space="preserve"> </w:t>
      </w:r>
      <m:oMath>
        <m:r>
          <m:t>130</m:t>
        </m:r>
        <m:r>
          <m:t>b</m:t>
        </m:r>
        <m:r>
          <m:t>y</m:t>
        </m:r>
        <m:r>
          <m:t>l</m:t>
        </m:r>
        <m:r>
          <m:t>a</m:t>
        </m:r>
        <m:r>
          <m:t>t</m:t>
        </m:r>
        <m:r>
          <m:t>e</m:t>
        </m:r>
        <m:r>
          <m:t>J</m:t>
        </m:r>
        <m:r>
          <m:t>u</m:t>
        </m:r>
        <m:r>
          <m:t>n</m:t>
        </m:r>
        <m:r>
          <m:t>e</m:t>
        </m:r>
        <m:r>
          <m:t>o</m:t>
        </m:r>
        <m:r>
          <m:t>n</m:t>
        </m:r>
        <m:r>
          <m:t>i</m:t>
        </m:r>
        <m:r>
          <m:t>m</m:t>
        </m:r>
        <m:r>
          <m:t>p</m:t>
        </m:r>
        <m:r>
          <m:t>r</m:t>
        </m:r>
        <m:r>
          <m:t>o</m:t>
        </m:r>
        <m:r>
          <m:t>v</m:t>
        </m:r>
        <m:r>
          <m:t>i</m:t>
        </m:r>
        <m:r>
          <m:t>n</m:t>
        </m:r>
        <m:r>
          <m:t>g</m:t>
        </m:r>
        <m:r>
          <m:t>c</m:t>
        </m:r>
        <m:r>
          <m:t>y</m:t>
        </m:r>
        <m:r>
          <m:t>c</m:t>
        </m:r>
        <m:r>
          <m:t>l</m:t>
        </m:r>
        <m:r>
          <m:t>i</m:t>
        </m:r>
        <m:r>
          <m:t>c</m:t>
        </m:r>
        <m:r>
          <m:t>a</m:t>
        </m:r>
        <m:r>
          <m:t>l</m:t>
        </m:r>
        <m:r>
          <m:t>s</m:t>
        </m:r>
        <m:r>
          <m:t>i</m:t>
        </m:r>
        <m:r>
          <m:t>g</m:t>
        </m:r>
        <m:r>
          <m:t>n</m:t>
        </m:r>
        <m:r>
          <m:t>a</m:t>
        </m:r>
        <m:r>
          <m:t>l</m:t>
        </m:r>
        <m:r>
          <m:t>s</m:t>
        </m:r>
        <m:r>
          <m:t>a</m:t>
        </m:r>
        <m:r>
          <m:t>n</m:t>
        </m:r>
        <m:r>
          <m:t>d</m:t>
        </m:r>
        <m:r>
          <m:t>a</m:t>
        </m:r>
        <m:r>
          <m:t>c</m:t>
        </m:r>
        <m:r>
          <m:t>c</m:t>
        </m:r>
        <m:r>
          <m:t>e</m:t>
        </m:r>
        <m:r>
          <m:t>l</m:t>
        </m:r>
        <m:r>
          <m:t>e</m:t>
        </m:r>
        <m:r>
          <m:t>r</m:t>
        </m:r>
        <m:r>
          <m:t>a</m:t>
        </m:r>
        <m:r>
          <m:t>t</m:t>
        </m:r>
        <m:r>
          <m:t>i</m:t>
        </m:r>
        <m:r>
          <m:t>n</m:t>
        </m:r>
        <m:r>
          <m:t>g</m:t>
        </m:r>
        <m:r>
          <m:t>A</m:t>
        </m:r>
        <m:r>
          <m:t>I</m:t>
        </m:r>
        <m:r>
          <m:t>d</m:t>
        </m:r>
        <m:r>
          <m:t>a</m:t>
        </m:r>
        <m:r>
          <m:t>t</m:t>
        </m:r>
        <m:r>
          <m:t>a</m:t>
        </m:r>
        <m:r>
          <m:rPr>
            <m:sty m:val="p"/>
          </m:rPr>
          <m:t>−</m:t>
        </m:r>
        <m:r>
          <m:t>c</m:t>
        </m:r>
        <m:r>
          <m:t>e</m:t>
        </m:r>
        <m:r>
          <m:t>n</m:t>
        </m:r>
        <m:r>
          <m:t>t</m:t>
        </m:r>
        <m:r>
          <m:t>e</m:t>
        </m:r>
        <m:r>
          <m:t>r</m:t>
        </m:r>
        <m:r>
          <m:t>d</m:t>
        </m:r>
        <m:r>
          <m:t>e</m:t>
        </m:r>
        <m:r>
          <m:t>m</m:t>
        </m:r>
        <m:r>
          <m:t>a</m:t>
        </m:r>
        <m:r>
          <m:t>n</m:t>
        </m:r>
        <m:r>
          <m:t>d</m:t>
        </m:r>
        <m:r>
          <m:rPr>
            <m:sty m:val="p"/>
          </m:rPr>
          <m:t>,</m:t>
        </m:r>
        <m:r>
          <m:t>o</m:t>
        </m:r>
        <m:r>
          <m:t>n</m:t>
        </m:r>
        <m:r>
          <m:t>l</m:t>
        </m:r>
        <m:r>
          <m:t>y</m:t>
        </m:r>
        <m:r>
          <m:t>t</m:t>
        </m:r>
        <m:r>
          <m:t>o</m:t>
        </m:r>
        <m:r>
          <m:t>c</m:t>
        </m:r>
        <m:r>
          <m:t>r</m:t>
        </m:r>
        <m:r>
          <m:t>a</m:t>
        </m:r>
        <m:r>
          <m:t>t</m:t>
        </m:r>
        <m:r>
          <m:t>e</m:t>
        </m:r>
        <m:r>
          <m:t>r</m:t>
        </m:r>
        <m:r>
          <m:t>r</m:t>
        </m:r>
        <m:r>
          <m:t>o</m:t>
        </m:r>
        <m:r>
          <m:t>u</m:t>
        </m:r>
        <m:r>
          <m:t>g</m:t>
        </m:r>
        <m:r>
          <m:t>h</m:t>
        </m:r>
        <m:r>
          <m:t>l</m:t>
        </m:r>
        <m:r>
          <m:t>y</m:t>
        </m:r>
        <m:r>
          <m:t>25</m:t>
        </m:r>
      </m:oMath>
      <w:r>
        <w:t xml:space="preserve">80s heading into earnings — meaning the stock is essentially back to where it traded in early May, despite two additional months of (reportedly) improving fundamentals. This divergence between operating momentum and stock price is the central tension investors will be assessing tomorrow.</w:t>
      </w:r>
    </w:p>
    <w:p>
      <w:pPr>
        <w:pStyle w:val="BodyText"/>
      </w:pPr>
      <w:r>
        <w:rPr>
          <w:b/>
          <w:bCs/>
        </w:rPr>
        <w:t xml:space="preserve">Consensus expectations (per sell-side aggregators):</w:t>
      </w:r>
      <w:r>
        <w:t xml:space="preserve"> </w:t>
      </w:r>
      <w:r>
        <w:t xml:space="preserve">Non-GAAP EPS of roughly</w:t>
      </w:r>
      <w:r>
        <w:t xml:space="preserve"> </w:t>
      </w:r>
      <m:oMath>
        <m:r>
          <m:t>0.71</m:t>
        </m:r>
        <m:r>
          <m:rPr>
            <m:sty m:val="p"/>
          </m:rPr>
          <m:t>–</m:t>
        </m:r>
      </m:oMath>
      <w:r>
        <w:rPr>
          <w:b/>
          <w:bCs/>
        </w:rPr>
        <w:t xml:space="preserve">0.72</w:t>
      </w:r>
      <w:r>
        <w:t xml:space="preserve"> </w:t>
      </w:r>
      <w:r>
        <w:t xml:space="preserve">on revenue of about</w:t>
      </w:r>
      <w:r>
        <w:t xml:space="preserve"> </w:t>
      </w:r>
      <w:r>
        <w:rPr>
          <w:b/>
          <w:bCs/>
        </w:rPr>
        <w:t xml:space="preserve">$1.59 billion</w:t>
      </w:r>
      <w:r>
        <w:t xml:space="preserve">, which would represent ~8% year-over-year revenue growth and ~36% EPS growth.</w:t>
      </w:r>
    </w:p>
    <w:bookmarkEnd w:id="9"/>
    <w:bookmarkStart w:id="10" w:name="Xe24fd8767b67b93b8bbdc4d50245f3fd427bfe7"/>
    <w:p>
      <w:pPr>
        <w:pStyle w:val="Heading2"/>
      </w:pPr>
      <w:r>
        <w:t xml:space="preserve">2. What Management Guided For Q2</w:t>
      </w:r>
    </w:p>
    <w:p>
      <w:pPr>
        <w:pStyle w:val="FirstParagraph"/>
      </w:pPr>
      <w:r>
        <w:t xml:space="preserve">Coming out of Q1, ON guided Q2 2026 non-GAAP metrics as follows: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Q1 2026 Actual</w:t>
            </w:r>
          </w:p>
        </w:tc>
      </w:tr>
      <w:tr>
        <w:tc>
          <w:tcPr/>
          <w:p>
            <w:pPr>
              <w:pStyle w:val="Compact"/>
            </w:pPr>
            <w:r>
              <w:t xml:space="preserve">Revenue</w:t>
            </w:r>
          </w:p>
        </w:tc>
        <w:tc>
          <w:tcPr/>
          <w:p>
            <w:pPr>
              <w:pStyle w:val="Compact"/>
            </w:pPr>
            <w:r>
              <w:t xml:space="preserve">$1.535B – $1.635B</w:t>
            </w:r>
          </w:p>
        </w:tc>
        <w:tc>
          <w:tcPr/>
          <w:p>
            <w:pPr>
              <w:pStyle w:val="Compact"/>
            </w:pPr>
            <w:r>
              <w:t xml:space="preserve">$1.513B</w:t>
            </w:r>
          </w:p>
        </w:tc>
      </w:tr>
      <w:tr>
        <w:tc>
          <w:tcPr/>
          <w:p>
            <w:pPr>
              <w:pStyle w:val="Compact"/>
            </w:pPr>
            <w:r>
              <w:t xml:space="preserve">Non-GAAP Gross Margin</w:t>
            </w:r>
          </w:p>
        </w:tc>
        <w:tc>
          <w:tcPr/>
          <w:p>
            <w:pPr>
              <w:pStyle w:val="Compact"/>
            </w:pPr>
            <w:r>
              <w:t xml:space="preserve">38.0% – 40.0%</w:t>
            </w:r>
          </w:p>
        </w:tc>
        <w:tc>
          <w:tcPr/>
          <w:p>
            <w:pPr>
              <w:pStyle w:val="Compact"/>
            </w:pPr>
            <w:r>
              <w:t xml:space="preserve">38.5%</w:t>
            </w:r>
          </w:p>
        </w:tc>
      </w:tr>
      <w:tr>
        <w:tc>
          <w:tcPr/>
          <w:p>
            <w:pPr>
              <w:pStyle w:val="Compact"/>
            </w:pPr>
            <w:r>
              <w:t xml:space="preserve">Non-GAAP Opex</w:t>
            </w:r>
          </w:p>
        </w:tc>
        <w:tc>
          <w:tcPr/>
          <w:p>
            <w:pPr>
              <w:pStyle w:val="Compact"/>
            </w:pPr>
            <w:r>
              <w:t xml:space="preserve">$287M – $302M</w:t>
            </w:r>
          </w:p>
        </w:tc>
        <w:tc>
          <w:tcPr/>
          <w:p>
            <w:pPr>
              <w:pStyle w:val="Compact"/>
            </w:pPr>
            <w:r>
              <w:t xml:space="preserve">$293.7M</w:t>
            </w:r>
          </w:p>
        </w:tc>
      </w:tr>
      <w:tr>
        <w:tc>
          <w:tcPr/>
          <w:p>
            <w:pPr>
              <w:pStyle w:val="Compact"/>
            </w:pPr>
            <w:r>
              <w:t xml:space="preserve">Non-GAAP EPS</w:t>
            </w:r>
          </w:p>
        </w:tc>
        <w:tc>
          <w:tcPr/>
          <w:p>
            <w:pPr>
              <w:pStyle w:val="Compact"/>
            </w:pPr>
            <w:r>
              <w:t xml:space="preserve">$0.65 – $0.77</w:t>
            </w:r>
          </w:p>
        </w:tc>
        <w:tc>
          <w:tcPr/>
          <w:p>
            <w:pPr>
              <w:pStyle w:val="Compact"/>
            </w:pPr>
            <w:r>
              <w:t xml:space="preserve">$0.64</w:t>
            </w:r>
          </w:p>
        </w:tc>
      </w:tr>
      <w:tr>
        <w:tc>
          <w:tcPr/>
          <w:p>
            <w:pPr>
              <w:pStyle w:val="Compact"/>
            </w:pPr>
            <w:r>
              <w:t xml:space="preserve">Diluted Shares (non-GAAP)</w:t>
            </w:r>
          </w:p>
        </w:tc>
        <w:tc>
          <w:tcPr/>
          <w:p>
            <w:pPr>
              <w:pStyle w:val="Compact"/>
            </w:pPr>
            <w:r>
              <w:t xml:space="preserve">~394M</w:t>
            </w:r>
          </w:p>
        </w:tc>
        <w:tc>
          <w:tcPr/>
          <w:p>
            <w:pPr>
              <w:pStyle w:val="Compact"/>
            </w:pPr>
            <w:r>
              <w:t xml:space="preserve">396.0M</w:t>
            </w:r>
          </w:p>
        </w:tc>
      </w:tr>
    </w:tbl>
    <w:p>
      <w:pPr>
        <w:pStyle w:val="BodyText"/>
      </w:pPr>
      <w:r>
        <w:t xml:space="preserve">Management anticipated Q2 revenue in the range of $1.535 billion to $1.635 billion, expecting to exit an incremental $30 million to $40 million of noncore revenue in the quarter, with revenue excluding those exits increasing approximately 7% at the midpoint and above seasonal. By end market, management guided Q2 automotive to be roughly flat sequentially, industrial up mid-single-digit percentages, and the "Other" category (including AI data center) up mid-teens percentage quarter-on-quarter.</w:t>
      </w:r>
    </w:p>
    <w:bookmarkEnd w:id="10"/>
    <w:bookmarkStart w:id="11" w:name="Xacbc75d7e206b56c8921d1ebf9b25f228476746"/>
    <w:p>
      <w:pPr>
        <w:pStyle w:val="Heading2"/>
      </w:pPr>
      <w:r>
        <w:t xml:space="preserve">3. Q1 2026 Recap — Why Sentiment Had Been Improving</w:t>
      </w:r>
    </w:p>
    <w:p>
      <w:pPr>
        <w:pStyle w:val="FirstParagraph"/>
      </w:pPr>
      <w:r>
        <w:t xml:space="preserve">The Q1 print (reported May 4) was the catalyst for the spring rally, and set the bar for this quarter:</w:t>
      </w:r>
    </w:p>
    <w:p>
      <w:pPr>
        <w:pStyle w:val="Compact"/>
        <w:numPr>
          <w:ilvl w:val="0"/>
          <w:numId w:val="1001"/>
        </w:numPr>
      </w:pPr>
      <w:r>
        <w:t xml:space="preserve">Revenue of $1.51 billion and non-GAAP diluted EPS of $0.64 both came in above the midpoint of guidance, driven by growth in AI data center.</w:t>
      </w:r>
    </w:p>
    <w:p>
      <w:pPr>
        <w:pStyle w:val="Compact"/>
        <w:numPr>
          <w:ilvl w:val="0"/>
          <w:numId w:val="1001"/>
        </w:numPr>
      </w:pPr>
      <w:r>
        <w:t xml:space="preserve">Gross margin expanded for the third consecutive quarter to 38.5%, while the company returned meaningful capital to shareholders.</w:t>
      </w:r>
    </w:p>
    <w:p>
      <w:pPr>
        <w:pStyle w:val="Compact"/>
        <w:numPr>
          <w:ilvl w:val="0"/>
          <w:numId w:val="1001"/>
        </w:numPr>
      </w:pPr>
      <w:r>
        <w:t xml:space="preserve">AI data center revenue grew more than 30% quarter-over-quarter — nearly double the expected growth rate entering the quarter — driven by broader adoption across the power tree with multiple XPU vendors and all the leading hyperscalers, with management now expecting AI data center revenue to double year-over-year in 2026.</w:t>
      </w:r>
    </w:p>
    <w:p>
      <w:pPr>
        <w:pStyle w:val="Compact"/>
        <w:numPr>
          <w:ilvl w:val="0"/>
          <w:numId w:val="1001"/>
        </w:numPr>
      </w:pPr>
      <w:r>
        <w:t xml:space="preserve">Automotive revenue grew nearly 5% year-over-year in Q1, marking the first year-over-year growth after seven quarters of decline, with management noting they now believe they're shipping to natural demand rather than depleted-inventory demand.</w:t>
      </w:r>
    </w:p>
    <w:p>
      <w:pPr>
        <w:pStyle w:val="Compact"/>
        <w:numPr>
          <w:ilvl w:val="0"/>
          <w:numId w:val="1001"/>
        </w:numPr>
      </w:pPr>
      <w:r>
        <w:t xml:space="preserve">Treo platform revenue increased more than 2.5x sequentially, with broader adoption across automotive, industrial and AI applications.</w:t>
      </w:r>
    </w:p>
    <w:p>
      <w:pPr>
        <w:pStyle w:val="Compact"/>
        <w:numPr>
          <w:ilvl w:val="0"/>
          <w:numId w:val="1001"/>
        </w:numPr>
      </w:pPr>
      <w:r>
        <w:t xml:space="preserve">China auto strength stood out: China automotive revenue grew year-over-year in Q1 despite a 6% decline in the China passenger vehicle market, with onsemi's silicon carbide share of new EV models at the 2026 Beijing Auto Show reaching approximately 55%.</w:t>
      </w:r>
    </w:p>
    <w:p>
      <w:pPr>
        <w:pStyle w:val="FirstParagraph"/>
      </w:pPr>
      <w:r>
        <w:t xml:space="preserve">Management struck a notably more constructive tone on the cycle than a year earlier: "We are expecting the second half to outgrow the first half... It is driven by programs that we started ramping already, which will continue to ramp," CEO Hassane El-Khoury said, adding that this was "not the sentiment that I personally had last year... in contrast, we see a much better outlook than we did last year."</w:t>
      </w:r>
    </w:p>
    <w:p>
      <w:pPr>
        <w:pStyle w:val="BodyText"/>
      </w:pPr>
      <w:r>
        <w:t xml:space="preserve">On margins, CFO Thad Trent laid out a multi-year bridge: every point of utilization is worth roughly 25–30 basis points of gross margin improvement, with another ~200 basis points of longer-term improvement expected from Fab Right initiatives, a similar magnitude from favorable mix, and another ~200 basis points from the 2022 fab divestitures flowing through — stacking up to over 50% gross margin longer term. Utilization was expected to be flat to up slightly in Q2, and pricing actions on input-cost inflation were expected to show up more visibly in the second half.</w:t>
      </w:r>
    </w:p>
    <w:bookmarkEnd w:id="11"/>
    <w:bookmarkStart w:id="12" w:name="Xa763ba5b63cb608f6b994fa33e6030d7993da42"/>
    <w:p>
      <w:pPr>
        <w:pStyle w:val="Heading2"/>
      </w:pPr>
      <w:r>
        <w:t xml:space="preserve">4. The Synaptics Wildcard</w:t>
      </w:r>
    </w:p>
    <w:p>
      <w:pPr>
        <w:pStyle w:val="FirstParagraph"/>
      </w:pPr>
      <w:r>
        <w:t xml:space="preserve">The single biggest swing factor heading into this print is the</w:t>
      </w:r>
      <w:r>
        <w:t xml:space="preserve"> </w:t>
      </w:r>
      <m:oMath>
        <m:r>
          <m:t>7</m:t>
        </m:r>
        <m:r>
          <m:t>b</m:t>
        </m:r>
        <m:r>
          <m:t>i</m:t>
        </m:r>
        <m:r>
          <m:t>l</m:t>
        </m:r>
        <m:r>
          <m:t>l</m:t>
        </m:r>
        <m:r>
          <m:t>i</m:t>
        </m:r>
        <m:r>
          <m:t>o</m:t>
        </m:r>
        <m:r>
          <m:t>n</m:t>
        </m:r>
        <m:r>
          <m:t>a</m:t>
        </m:r>
        <m:r>
          <m:t>l</m:t>
        </m:r>
        <m:r>
          <m:t>l</m:t>
        </m:r>
        <m:r>
          <m:rPr>
            <m:sty m:val="p"/>
          </m:rPr>
          <m:t>−</m:t>
        </m:r>
        <m:r>
          <m:t>s</m:t>
        </m:r>
        <m:r>
          <m:t>t</m:t>
        </m:r>
        <m:r>
          <m:t>o</m:t>
        </m:r>
        <m:r>
          <m:t>c</m:t>
        </m:r>
        <m:r>
          <m:t>k</m:t>
        </m:r>
        <m:r>
          <m:t>a</m:t>
        </m:r>
        <m:r>
          <m:t>c</m:t>
        </m:r>
        <m:r>
          <m:t>q</m:t>
        </m:r>
        <m:r>
          <m:t>u</m:t>
        </m:r>
        <m:r>
          <m:t>i</m:t>
        </m:r>
        <m:r>
          <m:t>s</m:t>
        </m:r>
        <m:r>
          <m:t>i</m:t>
        </m:r>
        <m:r>
          <m:t>t</m:t>
        </m:r>
        <m:r>
          <m:t>i</m:t>
        </m:r>
        <m:r>
          <m:t>o</m:t>
        </m:r>
        <m:r>
          <m:t>n</m:t>
        </m:r>
        <m:r>
          <m:t>o</m:t>
        </m:r>
        <m:r>
          <m:t>f</m:t>
        </m:r>
        <m:r>
          <m:t>S</m:t>
        </m:r>
        <m:r>
          <m:t>y</m:t>
        </m:r>
        <m:r>
          <m:t>n</m:t>
        </m:r>
        <m:r>
          <m:t>a</m:t>
        </m:r>
        <m:r>
          <m:t>p</m:t>
        </m:r>
        <m:r>
          <m:t>t</m:t>
        </m:r>
        <m:r>
          <m:t>i</m:t>
        </m:r>
        <m:r>
          <m:t>c</m:t>
        </m:r>
        <m:r>
          <m:t>s</m:t>
        </m:r>
        <m:r>
          <m:rPr>
            <m:sty m:val="p"/>
          </m:rPr>
          <m:t>*</m:t>
        </m:r>
        <m:r>
          <m:rPr>
            <m:sty m:val="p"/>
          </m:rPr>
          <m:t>*</m:t>
        </m:r>
        <m:r>
          <m:rPr>
            <m:sty m:val="p"/>
          </m:rPr>
          <m:t>,</m:t>
        </m:r>
        <m:r>
          <m:t>a</m:t>
        </m:r>
        <m:r>
          <m:t>n</m:t>
        </m:r>
        <m:r>
          <m:t>n</m:t>
        </m:r>
        <m:r>
          <m:t>o</m:t>
        </m:r>
        <m:r>
          <m:t>u</m:t>
        </m:r>
        <m:r>
          <m:t>n</m:t>
        </m:r>
        <m:r>
          <m:t>c</m:t>
        </m:r>
        <m:r>
          <m:t>e</m:t>
        </m:r>
        <m:r>
          <m:t>d</m:t>
        </m:r>
        <m:r>
          <m:t>J</m:t>
        </m:r>
        <m:r>
          <m:t>u</m:t>
        </m:r>
        <m:r>
          <m:t>n</m:t>
        </m:r>
        <m:r>
          <m:t>e</m:t>
        </m:r>
        <m:r>
          <m:t>25</m:t>
        </m:r>
        <m:r>
          <m:rPr>
            <m:sty m:val="p"/>
          </m:rPr>
          <m:t>—</m:t>
        </m:r>
        <m:r>
          <m:t>O</m:t>
        </m:r>
        <m:sSup>
          <m:e>
            <m:r>
              <m:t>N</m:t>
            </m:r>
          </m:e>
          <m:sup>
            <m:r>
              <m:rPr>
                <m:sty m:val="p"/>
              </m:rPr>
              <m:t>′</m:t>
            </m:r>
          </m:sup>
        </m:sSup>
        <m:r>
          <m:t>s</m:t>
        </m:r>
        <m:r>
          <m:t>l</m:t>
        </m:r>
        <m:r>
          <m:t>a</m:t>
        </m:r>
        <m:r>
          <m:t>r</m:t>
        </m:r>
        <m:r>
          <m:t>g</m:t>
        </m:r>
        <m:r>
          <m:t>e</m:t>
        </m:r>
        <m:r>
          <m:t>s</m:t>
        </m:r>
        <m:r>
          <m:t>t</m:t>
        </m:r>
        <m:r>
          <m:t>d</m:t>
        </m:r>
        <m:r>
          <m:t>e</m:t>
        </m:r>
        <m:r>
          <m:t>a</m:t>
        </m:r>
        <m:r>
          <m:t>l</m:t>
        </m:r>
        <m:r>
          <m:t>e</m:t>
        </m:r>
        <m:r>
          <m:t>v</m:t>
        </m:r>
        <m:r>
          <m:t>e</m:t>
        </m:r>
        <m:r>
          <m:t>r</m:t>
        </m:r>
        <m:r>
          <m:rPr>
            <m:sty m:val="p"/>
          </m:rPr>
          <m:t>.</m:t>
        </m:r>
        <m:r>
          <m:t>K</m:t>
        </m:r>
        <m:r>
          <m:t>e</m:t>
        </m:r>
        <m:r>
          <m:t>y</m:t>
        </m:r>
        <m:r>
          <m:t>t</m:t>
        </m:r>
        <m:r>
          <m:t>e</m:t>
        </m:r>
        <m:r>
          <m:t>r</m:t>
        </m:r>
        <m:r>
          <m:t>m</m:t>
        </m:r>
        <m:r>
          <m:t>s</m:t>
        </m:r>
        <m:r>
          <m:rPr>
            <m:sty m:val="p"/>
          </m:rPr>
          <m:t>:</m:t>
        </m:r>
        <m:r>
          <m:t>S</m:t>
        </m:r>
        <m:r>
          <m:t>y</m:t>
        </m:r>
        <m:r>
          <m:t>n</m:t>
        </m:r>
        <m:r>
          <m:t>a</m:t>
        </m:r>
        <m:r>
          <m:t>p</m:t>
        </m:r>
        <m:r>
          <m:t>t</m:t>
        </m:r>
        <m:r>
          <m:t>i</m:t>
        </m:r>
        <m:r>
          <m:t>c</m:t>
        </m:r>
        <m:r>
          <m:t>s</m:t>
        </m:r>
        <m:r>
          <m:t>h</m:t>
        </m:r>
        <m:r>
          <m:t>o</m:t>
        </m:r>
        <m:r>
          <m:t>l</m:t>
        </m:r>
        <m:r>
          <m:t>d</m:t>
        </m:r>
        <m:r>
          <m:t>e</m:t>
        </m:r>
        <m:r>
          <m:t>r</m:t>
        </m:r>
        <m:r>
          <m:t>s</m:t>
        </m:r>
        <m:r>
          <m:t>r</m:t>
        </m:r>
        <m:r>
          <m:t>e</m:t>
        </m:r>
        <m:r>
          <m:t>c</m:t>
        </m:r>
        <m:r>
          <m:t>e</m:t>
        </m:r>
        <m:r>
          <m:t>i</m:t>
        </m:r>
        <m:r>
          <m:t>v</m:t>
        </m:r>
        <m:r>
          <m:t>e</m:t>
        </m:r>
        <m:r>
          <m:t>1.350</m:t>
        </m:r>
        <m:r>
          <m:t>O</m:t>
        </m:r>
        <m:r>
          <m:t>N</m:t>
        </m:r>
        <m:r>
          <m:t>s</m:t>
        </m:r>
        <m:r>
          <m:t>h</m:t>
        </m:r>
        <m:r>
          <m:t>a</m:t>
        </m:r>
        <m:r>
          <m:t>r</m:t>
        </m:r>
        <m:r>
          <m:t>e</m:t>
        </m:r>
        <m:r>
          <m:t>s</m:t>
        </m:r>
        <m:r>
          <m:t>p</m:t>
        </m:r>
        <m:r>
          <m:t>e</m:t>
        </m:r>
        <m:r>
          <m:t>r</m:t>
        </m:r>
        <m:r>
          <m:t>s</m:t>
        </m:r>
        <m:r>
          <m:t>h</m:t>
        </m:r>
        <m:r>
          <m:t>a</m:t>
        </m:r>
        <m:r>
          <m:t>r</m:t>
        </m:r>
        <m:r>
          <m:t>e</m:t>
        </m:r>
        <m:r>
          <m:rPr>
            <m:sty m:val="p"/>
          </m:rPr>
          <m:t>(</m:t>
        </m:r>
        <m:r>
          <m:t> </m:t>
        </m:r>
        <m:r>
          <m:t>19</m:t>
        </m:r>
      </m:oMath>
      <w:r>
        <w:rPr>
          <w:b/>
          <w:bCs/>
        </w:rPr>
        <w:t xml:space="preserve">200 million in annual synergies</w:t>
      </w:r>
      <w:r>
        <w:t xml:space="preserve"> </w:t>
      </w:r>
      <w:r>
        <w:t xml:space="preserve">with non-GAAP EPS accretion within 18 months of closing. Strategically, ON is framing this as expanding its addressable market by $30 billion (to $243 billion by 2030) by pushing beyond power/sensing into "Physical AI" — edge compute, connectivity and human-machine interface.</w:t>
      </w:r>
    </w:p>
    <w:p>
      <w:pPr>
        <w:pStyle w:val="BodyText"/>
      </w:pPr>
      <w:r>
        <w:t xml:space="preserve">The market reaction was harsh: ON stock fell roughly 20–25% in the days following the announcement — its worst week since 2008 — as investors weighed concerns about dilution, integration risk, and a possible loss of focus away from the core AI-data-center power story that had driven the stock's rally. Sell-side reaction has been split — Mizuho cut its price target to $125 from $150, TD Cowen downgraded to Hold with a $110 target, while Needham raised its target to $130 (Buy) viewing the strategic logic favorably.</w:t>
      </w:r>
      <w:r>
        <w:t xml:space="preserve"> </w:t>
      </w:r>
      <w:r>
        <w:rPr>
          <w:b/>
          <w:bCs/>
        </w:rPr>
        <w:t xml:space="preserve">Expect this quarter's call to be dominated by questions on deal rationale, regulatory/timeline progress, integration cost, and reassurance that core power/AI-data-center momentum hasn't been diluted by management's attention shifting to M&amp;A</w:t>
      </w:r>
      <w:r>
        <w:t xml:space="preserve"> </w:t>
      </w:r>
      <w:r>
        <w:t xml:space="preserve">— CEO El-Khoury has already pushed back publicly, calling the deal complementary with no product overlap.</w:t>
      </w:r>
    </w:p>
    <w:bookmarkEnd w:id="12"/>
    <w:bookmarkStart w:id="13" w:name="Xd367a0a9c80d2c20249bd9e089c53c3685cf0b2"/>
    <w:p>
      <w:pPr>
        <w:pStyle w:val="Heading2"/>
      </w:pPr>
      <w:r>
        <w:t xml:space="preserve">5. Key Things to Watch in Tomorrow's Print</w:t>
      </w:r>
    </w:p>
    <w:p>
      <w:pPr>
        <w:pStyle w:val="Compact"/>
        <w:numPr>
          <w:ilvl w:val="0"/>
          <w:numId w:val="1002"/>
        </w:numPr>
      </w:pPr>
      <w:r>
        <w:rPr>
          <w:b/>
          <w:bCs/>
        </w:rPr>
        <w:t xml:space="preserve">AI data center trajectory</w:t>
      </w:r>
      <w:r>
        <w:t xml:space="preserve"> </w:t>
      </w:r>
      <w:r>
        <w:t xml:space="preserve">— Q1 growth of &gt;30% QoQ blew past expectations; watch whether the "mid-teens QoQ" Q2 guide for the "Other" segment was beaten again, and whether the full-year "double year-over-year" target gets reiterated or raised.</w:t>
      </w:r>
    </w:p>
    <w:p>
      <w:pPr>
        <w:pStyle w:val="Compact"/>
        <w:numPr>
          <w:ilvl w:val="0"/>
          <w:numId w:val="1002"/>
        </w:numPr>
      </w:pPr>
      <w:r>
        <w:rPr>
          <w:b/>
          <w:bCs/>
        </w:rPr>
        <w:t xml:space="preserve">Automotive inflection</w:t>
      </w:r>
      <w:r>
        <w:t xml:space="preserve"> </w:t>
      </w:r>
      <w:r>
        <w:t xml:space="preserve">— guided flat QoQ in Q2; any signs of a true restocking cycle (versus "shipping to natural demand") would be a bullish signal, especially given commentary about OEMs moving to direct semiconductor sourcing and early signs of allocation tightness.</w:t>
      </w:r>
    </w:p>
    <w:p>
      <w:pPr>
        <w:pStyle w:val="Compact"/>
        <w:numPr>
          <w:ilvl w:val="0"/>
          <w:numId w:val="1002"/>
        </w:numPr>
      </w:pPr>
      <w:r>
        <w:rPr>
          <w:b/>
          <w:bCs/>
        </w:rPr>
        <w:t xml:space="preserve">Gross margin cadence</w:t>
      </w:r>
      <w:r>
        <w:t xml:space="preserve"> </w:t>
      </w:r>
      <w:r>
        <w:t xml:space="preserve">— did margin expand sequentially again as promised, and is pricing now flowing through to offset input-cost inflation as management said would happen in H2?</w:t>
      </w:r>
    </w:p>
    <w:p>
      <w:pPr>
        <w:pStyle w:val="Compact"/>
        <w:numPr>
          <w:ilvl w:val="0"/>
          <w:numId w:val="1002"/>
        </w:numPr>
      </w:pPr>
      <w:r>
        <w:rPr>
          <w:b/>
          <w:bCs/>
        </w:rPr>
        <w:t xml:space="preserve">Lead times / backlog</w:t>
      </w:r>
      <w:r>
        <w:t xml:space="preserve"> </w:t>
      </w:r>
      <w:r>
        <w:t xml:space="preserve">— Q1 saw lead times stretch from ~23 to ~26 weeks with more orders inside lead time; further tightening would corroborate the "cycle has bottomed" narrative.</w:t>
      </w:r>
    </w:p>
    <w:p>
      <w:pPr>
        <w:pStyle w:val="Compact"/>
        <w:numPr>
          <w:ilvl w:val="0"/>
          <w:numId w:val="1002"/>
        </w:numPr>
      </w:pPr>
      <w:r>
        <w:rPr>
          <w:b/>
          <w:bCs/>
        </w:rPr>
        <w:t xml:space="preserve">Second-half guidance</w:t>
      </w:r>
      <w:r>
        <w:t xml:space="preserve"> </w:t>
      </w:r>
      <w:r>
        <w:t xml:space="preserve">— management had explicitly called for H2 to outgrow H1; Q3 guidance will be scrutinized against that claim, especially with the Synaptics distraction now in the mix.</w:t>
      </w:r>
    </w:p>
    <w:p>
      <w:pPr>
        <w:pStyle w:val="Compact"/>
        <w:numPr>
          <w:ilvl w:val="0"/>
          <w:numId w:val="1002"/>
        </w:numPr>
      </w:pPr>
      <w:r>
        <w:rPr>
          <w:b/>
          <w:bCs/>
        </w:rPr>
        <w:t xml:space="preserve">Synaptics deal updates</w:t>
      </w:r>
      <w:r>
        <w:t xml:space="preserve"> </w:t>
      </w:r>
      <w:r>
        <w:t xml:space="preserve">— any commentary on shareholder litigation, regulatory timeline, cost synergies, or reaffirmed accretion targets; also watch for reassurance on continuing the buyback program during the "pendency period."</w:t>
      </w:r>
    </w:p>
    <w:p>
      <w:pPr>
        <w:pStyle w:val="Compact"/>
        <w:numPr>
          <w:ilvl w:val="0"/>
          <w:numId w:val="1002"/>
        </w:numPr>
      </w:pPr>
      <w:r>
        <w:rPr>
          <w:b/>
          <w:bCs/>
        </w:rPr>
        <w:t xml:space="preserve">Capital returns</w:t>
      </w:r>
      <w:r>
        <w:t xml:space="preserve"> </w:t>
      </w:r>
      <w:r>
        <w:t xml:space="preserve">— ON aggressively bought back stock in Q1 ($346M, ~160% of FCF) at an average price around</w:t>
      </w:r>
      <w:r>
        <w:t xml:space="preserve"> </w:t>
      </w:r>
      <m:oMath>
        <m:r>
          <m:t>60</m:t>
        </m:r>
        <m:r>
          <m:rPr>
            <m:sty m:val="p"/>
          </m:rPr>
          <m:t>;</m:t>
        </m:r>
        <m:r>
          <m:t>w</m:t>
        </m:r>
        <m:r>
          <m:t>i</m:t>
        </m:r>
        <m:r>
          <m:t>t</m:t>
        </m:r>
        <m:r>
          <m:t>h</m:t>
        </m:r>
        <m:r>
          <m:t>t</m:t>
        </m:r>
        <m:r>
          <m:t>h</m:t>
        </m:r>
        <m:r>
          <m:t>e</m:t>
        </m:r>
        <m:r>
          <m:t>s</m:t>
        </m:r>
        <m:r>
          <m:t>t</m:t>
        </m:r>
        <m:r>
          <m:t>o</m:t>
        </m:r>
        <m:r>
          <m:t>c</m:t>
        </m:r>
        <m:r>
          <m:t>k</m:t>
        </m:r>
        <m:r>
          <m:t>a</m:t>
        </m:r>
        <m:r>
          <m:t>g</m:t>
        </m:r>
        <m:r>
          <m:t>a</m:t>
        </m:r>
        <m:r>
          <m:t>i</m:t>
        </m:r>
        <m:r>
          <m:t>n</m:t>
        </m:r>
        <m:r>
          <m:t>i</m:t>
        </m:r>
        <m:r>
          <m:t>n</m:t>
        </m:r>
        <m:r>
          <m:t>t</m:t>
        </m:r>
        <m:r>
          <m:t>h</m:t>
        </m:r>
        <m:r>
          <m:t>e</m:t>
        </m:r>
        <m:r>
          <m:t>l</m:t>
        </m:r>
        <m:r>
          <m:t>o</m:t>
        </m:r>
        <m:r>
          <m:t>w</m:t>
        </m:r>
        <m:r>
          <m:rPr>
            <m:sty m:val="p"/>
          </m:rPr>
          <m:t>−</m:t>
        </m:r>
      </m:oMath>
      <w:r>
        <w:t xml:space="preserve">80s (well off the $130+ highs), continued opportunistic buybacks would reinforce management's view that shares are undervalued even before the deal.</w:t>
      </w:r>
    </w:p>
    <w:bookmarkEnd w:id="13"/>
    <w:bookmarkStart w:id="14" w:name="Xce0c3829e6a6401f07e5f308ecc1fa3e462b77e"/>
    <w:p>
      <w:pPr>
        <w:pStyle w:val="Heading2"/>
      </w:pPr>
      <w:r>
        <w:t xml:space="preserve">6. Sector Backdrop</w:t>
      </w:r>
    </w:p>
    <w:p>
      <w:pPr>
        <w:pStyle w:val="FirstParagraph"/>
      </w:pPr>
      <w:r>
        <w:t xml:space="preserve">The setup is complicated by a mixed but generally improving analog/power semiconductor tape. Peer</w:t>
      </w:r>
      <w:r>
        <w:t xml:space="preserve"> </w:t>
      </w:r>
      <w:r>
        <w:rPr>
          <w:b/>
          <w:bCs/>
        </w:rPr>
        <w:t xml:space="preserve">Monolithic Power Systems</w:t>
      </w:r>
      <w:r>
        <w:t xml:space="preserve"> </w:t>
      </w:r>
      <w:r>
        <w:t xml:space="preserve">posted a strong beat-and-raise quarter in late July, with results validating growing data-center exposure. Broader sentiment toward analog chipmakers has improved recently on data-center-driven tailwinds, and hyperscaler capex commentary (Amazon raising 2026 capex guidance to ~$220B, Microsoft's blowout cloud quarter) suggests the AI infrastructure buildout — a key ON growth driver — remains robust. That said, Apple's post-earnings slide and broader market jitters over rate policy show investors remain sensitive to any guidance disappointment, especially for a stock as volatile as ON has been.</w:t>
      </w:r>
    </w:p>
    <w:bookmarkEnd w:id="14"/>
    <w:bookmarkStart w:id="15" w:name="X7a3bbf556adfc11a6000f5b234b318bdc6ae48e"/>
    <w:p>
      <w:pPr>
        <w:pStyle w:val="Heading2"/>
      </w:pPr>
      <w:r>
        <w:t xml:space="preserve">7. Bottom Line</w:t>
      </w:r>
    </w:p>
    <w:p>
      <w:pPr>
        <w:pStyle w:val="FirstParagraph"/>
      </w:pPr>
      <w:r>
        <w:t xml:space="preserve">Going into this print, the fundamental narrative from Q1 — cyclical trough behind, AI data center accelerating, gross margin expanding, automotive stabilizing — remains intact and consensus estimates call for continued double-digit-plus EPS growth. But the stock's setup has been completely reshaped by the Synaptics acquisition: investors will be listening less for whether Q2 numbers land within guidance (a beat looks likely given recent execution) and more for whether management can convincingly de-risk the M&amp;A overhang, reaffirm the core power/AI growth algorithm, and show that capital allocation discipline (buybacks) continues despite the pending stock issuance. A "clean beat-and-raise" on the operating business without new deal-related uncertainty would likely be the best-case outcome for the stock; a fresh disappointment on either automotive recovery pace or margin cadence — layered on top of lingering Synaptics skepticism — could pressure shares further.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2026-08-03T00:17:04Z</dcterms:created>
  <dcterms:modified xsi:type="dcterms:W3CDTF">2026-08-03T00:17:04Z</dcterms:modified>
</cp:coreProperties>
</file>

<file path=docProps/custom.xml><?xml version="1.0" encoding="utf-8"?>
<Properties xmlns="http://schemas.openxmlformats.org/officeDocument/2006/custom-properties" xmlns:vt="http://schemas.openxmlformats.org/officeDocument/2006/docPropsVTypes"/>
</file>