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onsemi-on-2026-q2-earnings-preview"/>
    <w:p>
      <w:pPr>
        <w:pStyle w:val="Heading1"/>
      </w:pPr>
      <w:r>
        <w:t xml:space="preserve">onsemi (ON) 2026 Q2 Earnings Preview</w:t>
      </w:r>
    </w:p>
    <w:p>
      <w:pPr>
        <w:pStyle w:val="BlockText"/>
      </w:pPr>
      <w:r>
        <w:rPr>
          <w:b/>
          <w:bCs/>
        </w:rPr>
        <w:t xml:space="preserve">Timing clarification:</w:t>
      </w:r>
      <w:r>
        <w:t xml:space="preserve"> </w:t>
      </w:r>
      <w:r>
        <w:t xml:space="preserve">onsemi is scheduled to report</w:t>
      </w:r>
      <w:r>
        <w:t xml:space="preserve"> </w:t>
      </w:r>
      <w:r>
        <w:rPr>
          <w:b/>
          <w:bCs/>
        </w:rPr>
        <w:t xml:space="preserve">today, Monday, August 3, 2026</w:t>
      </w:r>
      <w:r>
        <w:t xml:space="preserve">, after the U.S. market closes, followed by its conference call at</w:t>
      </w:r>
      <w:r>
        <w:t xml:space="preserve"> </w:t>
      </w:r>
      <w:r>
        <w:rPr>
          <w:b/>
          <w:bCs/>
        </w:rPr>
        <w:t xml:space="preserve">5:00 p.m. ET</w:t>
      </w:r>
      <w:r>
        <w:t xml:space="preserve">—not tomorrow. (</w:t>
      </w:r>
      <w:hyperlink r:id="rId9">
        <w:r>
          <w:rPr>
            <w:rStyle w:val="Hyperlink"/>
          </w:rPr>
          <w:t xml:space="preserve">investor.onsemi.com</w:t>
        </w:r>
      </w:hyperlink>
      <w:r>
        <w:t xml:space="preserve">)</w:t>
      </w:r>
    </w:p>
    <w:bookmarkStart w:id="11" w:name="executive-view"/>
    <w:p>
      <w:pPr>
        <w:pStyle w:val="Heading2"/>
      </w:pPr>
      <w:r>
        <w:t xml:space="preserve">Executive view</w:t>
      </w:r>
    </w:p>
    <w:p>
      <w:pPr>
        <w:pStyle w:val="FirstParagraph"/>
      </w:pPr>
      <w:r>
        <w:t xml:space="preserve">This report is less about whether onsemi can clear its Q2 guidance and more about whether management can preserve the</w:t>
      </w:r>
      <w:r>
        <w:t xml:space="preserve"> </w:t>
      </w:r>
      <w:r>
        <w:rPr>
          <w:b/>
          <w:bCs/>
        </w:rPr>
        <w:t xml:space="preserve">second-half recovery narrative</w:t>
      </w:r>
      <w:r>
        <w:t xml:space="preserve"> </w:t>
      </w:r>
      <w:r>
        <w:t xml:space="preserve">while addressing the credibility gap created by its proposed acquisition of Synaptics.</w:t>
      </w:r>
    </w:p>
    <w:p>
      <w:pPr>
        <w:pStyle w:val="BodyText"/>
      </w:pPr>
      <w:r>
        <w:t xml:space="preserve">The operating setup improved materially in Q1: demand signals strengthened, AI data-center revenue accelerated, utilization rose, and management argued that the semiconductor cycle had passed its trough. But investors now need evidence that:</w:t>
      </w:r>
    </w:p>
    <w:p>
      <w:pPr>
        <w:pStyle w:val="Compact"/>
        <w:numPr>
          <w:ilvl w:val="0"/>
          <w:numId w:val="1001"/>
        </w:numPr>
      </w:pPr>
      <w:r>
        <w:t xml:space="preserve">Recovery is translating into sustained sequential revenue growth.</w:t>
      </w:r>
    </w:p>
    <w:p>
      <w:pPr>
        <w:pStyle w:val="Compact"/>
        <w:numPr>
          <w:ilvl w:val="0"/>
          <w:numId w:val="1001"/>
        </w:numPr>
      </w:pPr>
      <w:r>
        <w:t xml:space="preserve">Gross margin is responding to higher utilization and portfolio actions.</w:t>
      </w:r>
    </w:p>
    <w:p>
      <w:pPr>
        <w:pStyle w:val="Compact"/>
        <w:numPr>
          <w:ilvl w:val="0"/>
          <w:numId w:val="1001"/>
        </w:numPr>
      </w:pPr>
      <w:r>
        <w:t xml:space="preserve">AI data-center growth is durable rather than a temporary offset to weak automotive demand.</w:t>
      </w:r>
    </w:p>
    <w:p>
      <w:pPr>
        <w:pStyle w:val="Compact"/>
        <w:numPr>
          <w:ilvl w:val="0"/>
          <w:numId w:val="1001"/>
        </w:numPr>
      </w:pPr>
      <w:r>
        <w:t xml:space="preserve">Management remains focused on execution despite the large Synaptics transaction.</w:t>
      </w:r>
    </w:p>
    <w:p>
      <w:pPr>
        <w:pStyle w:val="Compact"/>
        <w:numPr>
          <w:ilvl w:val="0"/>
          <w:numId w:val="1001"/>
        </w:numPr>
      </w:pPr>
      <w:r>
        <w:t xml:space="preserve">Inventory and capacity increases are supported by real end demand.</w:t>
      </w:r>
    </w:p>
    <w:p>
      <w:pPr>
        <w:pStyle w:val="FirstParagraph"/>
      </w:pPr>
      <w:r>
        <w:t xml:space="preserve">The stock enters the report with expectations reset. ON closed at</w:t>
      </w:r>
      <w:r>
        <w:t xml:space="preserve"> </w:t>
      </w:r>
      <w:r>
        <w:rPr>
          <w:b/>
          <w:bCs/>
        </w:rPr>
        <w:t xml:space="preserve">$81.63 on July 31</w:t>
      </w:r>
      <w:r>
        <w:t xml:space="preserve">, roughly</w:t>
      </w:r>
      <w:r>
        <w:t xml:space="preserve"> </w:t>
      </w:r>
      <w:r>
        <w:rPr>
          <w:b/>
          <w:bCs/>
        </w:rPr>
        <w:t xml:space="preserve">38% below its June 22 closing high of $131.55</w:t>
      </w:r>
      <w:r>
        <w:t xml:space="preserve">, with much of the reset occurring around the Synaptics announcement and a broader semiconductor selloff. (</w:t>
      </w:r>
      <w:hyperlink r:id="rId10">
        <w:r>
          <w:rPr>
            <w:rStyle w:val="Hyperlink"/>
          </w:rPr>
          <w:t xml:space="preserve">investor.onsemi.com</w:t>
        </w:r>
      </w:hyperlink>
      <w:r>
        <w:t xml:space="preserve">)</w:t>
      </w:r>
    </w:p>
    <w:p>
      <w:r>
        <w:pict>
          <v:rect style="width:0;height:1.5pt" o:hralign="center" o:hrstd="t" o:hr="t"/>
        </w:pict>
      </w:r>
    </w:p>
    <w:bookmarkEnd w:id="11"/>
    <w:bookmarkStart w:id="13" w:name="the-q2-scorecard"/>
    <w:p>
      <w:pPr>
        <w:pStyle w:val="Heading2"/>
      </w:pPr>
      <w:r>
        <w:t xml:space="preserve">The Q2 scorecard</w:t>
      </w:r>
    </w:p>
    <w:p>
      <w:pPr>
        <w:pStyle w:val="FirstParagraph"/>
      </w:pPr>
      <w:r>
        <w:t xml:space="preserve">The cleanest benchmark is management’s May guidance, which onsemi explicitly reiterated on</w:t>
      </w:r>
      <w:r>
        <w:t xml:space="preserve"> </w:t>
      </w:r>
      <w:r>
        <w:rPr>
          <w:b/>
          <w:bCs/>
        </w:rPr>
        <w:t xml:space="preserve">June 25</w:t>
      </w:r>
      <w:r>
        <w:t xml:space="preserve">, late in the quarter, when it announced the Synaptics transaction. That reiteration reduces—but does not eliminate—the risk of a meaningful Q2 miss. (</w:t>
      </w:r>
      <w:hyperlink r:id="rId12">
        <w:r>
          <w:rPr>
            <w:rStyle w:val="Hyperlink"/>
          </w:rPr>
          <w:t xml:space="preserve">investor.onsemi.com</w:t>
        </w:r>
      </w:hyperlink>
      <w: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guidance</w:t>
            </w:r>
          </w:p>
        </w:tc>
        <w:tc>
          <w:tcPr/>
          <w:p>
            <w:pPr>
              <w:pStyle w:val="Compact"/>
              <w:jc w:val="right"/>
            </w:pPr>
            <w:r>
              <w:t xml:space="preserve">Midpoint</w:t>
            </w:r>
          </w:p>
        </w:tc>
        <w:tc>
          <w:tcPr/>
          <w:p>
            <w:pPr>
              <w:pStyle w:val="Compact"/>
              <w:jc w:val="right"/>
            </w:pPr>
            <w:r>
              <w:t xml:space="preserve">Q1 2026 actual</w:t>
            </w:r>
          </w:p>
        </w:tc>
      </w:tr>
      <w:tr>
        <w:tc>
          <w:tcPr/>
          <w:p>
            <w:pPr>
              <w:pStyle w:val="Compact"/>
            </w:pPr>
            <w:r>
              <w:t xml:space="preserve">Revenue</w:t>
            </w:r>
          </w:p>
        </w:tc>
        <w:tc>
          <w:tcPr/>
          <w:p>
            <w:pPr>
              <w:pStyle w:val="Compact"/>
              <w:jc w:val="right"/>
            </w:pPr>
            <m:oMath>
              <m:r>
                <m:t>1.535</m:t>
              </m:r>
              <m:r>
                <m:t>B</m:t>
              </m:r>
              <m:r>
                <m:rPr>
                  <m:sty m:val="p"/>
                </m:rPr>
                <m:t>–</m:t>
              </m:r>
            </m:oMath>
            <w:r>
              <w:t xml:space="preserve">1.635B</w:t>
            </w:r>
          </w:p>
        </w:tc>
        <w:tc>
          <w:tcPr/>
          <w:p>
            <w:pPr>
              <w:pStyle w:val="Compact"/>
              <w:jc w:val="right"/>
            </w:pPr>
            <w:r>
              <w:rPr>
                <w:b/>
                <w:bCs/>
              </w:rPr>
              <w:t xml:space="preserve">$1.585B</w:t>
            </w:r>
          </w:p>
        </w:tc>
        <w:tc>
          <w:tcPr/>
          <w:p>
            <w:pPr>
              <w:pStyle w:val="Compact"/>
              <w:jc w:val="right"/>
            </w:pPr>
            <w:r>
              <w:t xml:space="preserve">$1.513B</w:t>
            </w:r>
          </w:p>
        </w:tc>
      </w:tr>
      <w:tr>
        <w:tc>
          <w:tcPr/>
          <w:p>
            <w:pPr>
              <w:pStyle w:val="Compact"/>
            </w:pPr>
            <w:r>
              <w:t xml:space="preserve">Non-GAAP gross margin</w:t>
            </w:r>
          </w:p>
        </w:tc>
        <w:tc>
          <w:tcPr/>
          <w:p>
            <w:pPr>
              <w:pStyle w:val="Compact"/>
              <w:jc w:val="right"/>
            </w:pPr>
            <w:r>
              <w:t xml:space="preserve">38.0%–40.0%</w:t>
            </w:r>
          </w:p>
        </w:tc>
        <w:tc>
          <w:tcPr/>
          <w:p>
            <w:pPr>
              <w:pStyle w:val="Compact"/>
              <w:jc w:val="right"/>
            </w:pPr>
            <w:r>
              <w:rPr>
                <w:b/>
                <w:bCs/>
              </w:rPr>
              <w:t xml:space="preserve">39.0%</w:t>
            </w:r>
          </w:p>
        </w:tc>
        <w:tc>
          <w:tcPr/>
          <w:p>
            <w:pPr>
              <w:pStyle w:val="Compact"/>
              <w:jc w:val="right"/>
            </w:pPr>
            <w:r>
              <w:t xml:space="preserve">38.5%</w:t>
            </w:r>
          </w:p>
        </w:tc>
      </w:tr>
      <w:tr>
        <w:tc>
          <w:tcPr/>
          <w:p>
            <w:pPr>
              <w:pStyle w:val="Compact"/>
            </w:pPr>
            <w:r>
              <w:t xml:space="preserve">Non-GAAP operating expenses</w:t>
            </w:r>
          </w:p>
        </w:tc>
        <w:tc>
          <w:tcPr/>
          <w:p>
            <w:pPr>
              <w:pStyle w:val="Compact"/>
              <w:jc w:val="right"/>
            </w:pPr>
            <m:oMath>
              <m:r>
                <m:t>287</m:t>
              </m:r>
              <m:r>
                <m:t>M</m:t>
              </m:r>
              <m:r>
                <m:rPr>
                  <m:sty m:val="p"/>
                </m:rPr>
                <m:t>–</m:t>
              </m:r>
            </m:oMath>
            <w:r>
              <w:t xml:space="preserve">302M</w:t>
            </w:r>
          </w:p>
        </w:tc>
        <w:tc>
          <w:tcPr/>
          <w:p>
            <w:pPr>
              <w:pStyle w:val="Compact"/>
              <w:jc w:val="right"/>
            </w:pPr>
            <w:r>
              <w:rPr>
                <w:b/>
                <w:bCs/>
              </w:rPr>
              <w:t xml:space="preserve">$294.5M</w:t>
            </w:r>
          </w:p>
        </w:tc>
        <w:tc>
          <w:tcPr/>
          <w:p>
            <w:pPr>
              <w:pStyle w:val="Compact"/>
              <w:jc w:val="right"/>
            </w:pPr>
            <w:r>
              <w:t xml:space="preserve">$294M</w:t>
            </w:r>
          </w:p>
        </w:tc>
      </w:tr>
      <w:tr>
        <w:tc>
          <w:tcPr/>
          <w:p>
            <w:pPr>
              <w:pStyle w:val="Compact"/>
            </w:pPr>
            <w:r>
              <w:t xml:space="preserve">Non-GAAP EPS</w:t>
            </w:r>
          </w:p>
        </w:tc>
        <w:tc>
          <w:tcPr/>
          <w:p>
            <w:pPr>
              <w:pStyle w:val="Compact"/>
              <w:jc w:val="right"/>
            </w:pPr>
            <m:oMath>
              <m:r>
                <m:t>0.65</m:t>
              </m:r>
              <m:r>
                <m:rPr>
                  <m:sty m:val="p"/>
                </m:rPr>
                <m:t>–</m:t>
              </m:r>
            </m:oMath>
            <w:r>
              <w:t xml:space="preserve">0.77</w:t>
            </w:r>
          </w:p>
        </w:tc>
        <w:tc>
          <w:tcPr/>
          <w:p>
            <w:pPr>
              <w:pStyle w:val="Compact"/>
              <w:jc w:val="right"/>
            </w:pPr>
            <w:r>
              <w:rPr>
                <w:b/>
                <w:bCs/>
              </w:rPr>
              <w:t xml:space="preserve">$0.71</w:t>
            </w:r>
          </w:p>
        </w:tc>
        <w:tc>
          <w:tcPr/>
          <w:p>
            <w:pPr>
              <w:pStyle w:val="Compact"/>
              <w:jc w:val="right"/>
            </w:pPr>
            <w:r>
              <w:t xml:space="preserve">$0.64</w:t>
            </w:r>
          </w:p>
        </w:tc>
      </w:tr>
      <w:tr>
        <w:tc>
          <w:tcPr/>
          <w:p>
            <w:pPr>
              <w:pStyle w:val="Compact"/>
            </w:pPr>
            <w:r>
              <w:t xml:space="preserve">Diluted share count</w:t>
            </w:r>
          </w:p>
        </w:tc>
        <w:tc>
          <w:tcPr/>
          <w:p>
            <w:pPr>
              <w:pStyle w:val="Compact"/>
              <w:jc w:val="right"/>
            </w:pPr>
            <w:r>
              <w:t xml:space="preserve">Approximately 394M</w:t>
            </w:r>
          </w:p>
        </w:tc>
        <w:tc>
          <w:tcPr/>
          <w:p>
            <w:pPr>
              <w:pStyle w:val="Compact"/>
              <w:jc w:val="right"/>
            </w:pPr>
            <w:r>
              <w:t xml:space="preserve">—</w:t>
            </w:r>
          </w:p>
        </w:tc>
        <w:tc>
          <w:tcPr/>
          <w:p>
            <w:pPr>
              <w:pStyle w:val="Compact"/>
              <w:jc w:val="right"/>
            </w:pPr>
            <w:r>
              <w:t xml:space="preserve">396M</w:t>
            </w:r>
          </w:p>
        </w:tc>
      </w:tr>
      <w:tr>
        <w:tc>
          <w:tcPr/>
          <w:p>
            <w:pPr>
              <w:pStyle w:val="Compact"/>
            </w:pPr>
            <w:r>
              <w:t xml:space="preserve">Capital expenditures</w:t>
            </w:r>
          </w:p>
        </w:tc>
        <w:tc>
          <w:tcPr/>
          <w:p>
            <w:pPr>
              <w:pStyle w:val="Compact"/>
              <w:jc w:val="right"/>
            </w:pPr>
            <m:oMath>
              <m:r>
                <m:t>25</m:t>
              </m:r>
              <m:r>
                <m:t>M</m:t>
              </m:r>
              <m:r>
                <m:rPr>
                  <m:sty m:val="p"/>
                </m:rPr>
                <m:t>–</m:t>
              </m:r>
            </m:oMath>
            <w:r>
              <w:t xml:space="preserve">35M</w:t>
            </w:r>
          </w:p>
        </w:tc>
        <w:tc>
          <w:tcPr/>
          <w:p>
            <w:pPr>
              <w:pStyle w:val="Compact"/>
              <w:jc w:val="right"/>
            </w:pPr>
            <w:r>
              <w:rPr>
                <w:b/>
                <w:bCs/>
              </w:rPr>
              <w:t xml:space="preserve">$30M</w:t>
            </w:r>
          </w:p>
        </w:tc>
        <w:tc>
          <w:tcPr/>
          <w:p>
            <w:pPr>
              <w:pStyle w:val="Compact"/>
              <w:jc w:val="right"/>
            </w:pPr>
            <w:r>
              <w:t xml:space="preserve">$22M</w:t>
            </w:r>
          </w:p>
        </w:tc>
      </w:tr>
    </w:tbl>
    <w:p>
      <w:pPr>
        <w:pStyle w:val="BodyText"/>
      </w:pPr>
      <w:r>
        <w:t xml:space="preserve">At the midpoint, revenue would rise approximately</w:t>
      </w:r>
      <w:r>
        <w:t xml:space="preserve"> </w:t>
      </w:r>
      <w:r>
        <w:rPr>
          <w:b/>
          <w:bCs/>
        </w:rPr>
        <w:t xml:space="preserve">5% sequentially</w:t>
      </w:r>
      <w:r>
        <w:t xml:space="preserve"> </w:t>
      </w:r>
      <w:r>
        <w:t xml:space="preserve">and</w:t>
      </w:r>
      <w:r>
        <w:t xml:space="preserve"> </w:t>
      </w:r>
      <w:r>
        <w:rPr>
          <w:b/>
          <w:bCs/>
        </w:rPr>
        <w:t xml:space="preserve">8% year over year</w:t>
      </w:r>
      <w:r>
        <w:t xml:space="preserve">. Non-GAAP EPS would increase roughly</w:t>
      </w:r>
      <w:r>
        <w:t xml:space="preserve"> </w:t>
      </w:r>
      <w:r>
        <w:rPr>
          <w:b/>
          <w:bCs/>
        </w:rPr>
        <w:t xml:space="preserve">34% year over year</w:t>
      </w:r>
      <w:r>
        <w:t xml:space="preserve">, helped by revenue growth, margin expansion, lower operating expenses and a reduced share count. The midpoint also includes another</w:t>
      </w:r>
      <w:r>
        <w:t xml:space="preserve"> </w:t>
      </w:r>
      <m:oMath>
        <m:r>
          <m:t>30</m:t>
        </m:r>
        <m:r>
          <m:t>m</m:t>
        </m:r>
        <m:r>
          <m:t>i</m:t>
        </m:r>
        <m:r>
          <m:t>l</m:t>
        </m:r>
        <m:r>
          <m:t>l</m:t>
        </m:r>
        <m:r>
          <m:t>i</m:t>
        </m:r>
        <m:r>
          <m:t>o</m:t>
        </m:r>
        <m:r>
          <m:t>n</m:t>
        </m:r>
        <m:r>
          <m:rPr>
            <m:sty m:val="p"/>
          </m:rPr>
          <m:t>–</m:t>
        </m:r>
      </m:oMath>
      <w:r>
        <w:rPr>
          <w:b/>
          <w:bCs/>
        </w:rPr>
        <w:t xml:space="preserve">40 million of planned noncore revenue exits</w:t>
      </w:r>
      <w:r>
        <w:t xml:space="preserve">.</w:t>
      </w:r>
    </w:p>
    <w:p>
      <w:pPr>
        <w:pStyle w:val="BodyText"/>
      </w:pPr>
      <w:r>
        <w:t xml:space="preserve">A result merely around the midpoint may not be enough to produce a strong reaction. Given the late-quarter guidance reiteration, investors will probably want revenue in the upper half of the range, gross margin approaching 40%, and constructive Q3 guidance.</w:t>
      </w:r>
    </w:p>
    <w:p>
      <w:r>
        <w:pict>
          <v:rect style="width:0;height:1.5pt" o:hralign="center" o:hrstd="t" o:hr="t"/>
        </w:pict>
      </w:r>
    </w:p>
    <w:bookmarkEnd w:id="13"/>
    <w:bookmarkStart w:id="14" w:name="Xd2f14b61b21e3dcacaedc07867c140acc46583c"/>
    <w:p>
      <w:pPr>
        <w:pStyle w:val="Heading2"/>
      </w:pPr>
      <w:r>
        <w:t xml:space="preserve">1. The Q3 outlook will matter more than the Q2 beat or miss</w:t>
      </w:r>
    </w:p>
    <w:p>
      <w:pPr>
        <w:pStyle w:val="FirstParagraph"/>
      </w:pPr>
      <w:r>
        <w:t xml:space="preserve">Management entered Q2 saying the company had moved beyond the cyclical trough. It expected:</w:t>
      </w:r>
    </w:p>
    <w:p>
      <w:pPr>
        <w:pStyle w:val="Compact"/>
        <w:numPr>
          <w:ilvl w:val="0"/>
          <w:numId w:val="1002"/>
        </w:numPr>
      </w:pPr>
      <w:r>
        <w:t xml:space="preserve">Automotive revenue to be roughly flat sequentially.</w:t>
      </w:r>
    </w:p>
    <w:p>
      <w:pPr>
        <w:pStyle w:val="Compact"/>
        <w:numPr>
          <w:ilvl w:val="0"/>
          <w:numId w:val="1002"/>
        </w:numPr>
      </w:pPr>
      <w:r>
        <w:t xml:space="preserve">Industrial revenue to rise by a mid-single-digit percentage.</w:t>
      </w:r>
    </w:p>
    <w:p>
      <w:pPr>
        <w:pStyle w:val="Compact"/>
        <w:numPr>
          <w:ilvl w:val="0"/>
          <w:numId w:val="1002"/>
        </w:numPr>
      </w:pPr>
      <w:r>
        <w:t xml:space="preserve">The “Other” category, which includes AI data centers, to increase by a mid-teens percentage.</w:t>
      </w:r>
    </w:p>
    <w:p>
      <w:pPr>
        <w:pStyle w:val="Compact"/>
        <w:numPr>
          <w:ilvl w:val="0"/>
          <w:numId w:val="1002"/>
        </w:numPr>
      </w:pPr>
      <w:r>
        <w:t xml:space="preserve">The second half of 2026 to outgrow the first half.</w:t>
      </w:r>
    </w:p>
    <w:p>
      <w:pPr>
        <w:pStyle w:val="Compact"/>
        <w:numPr>
          <w:ilvl w:val="0"/>
          <w:numId w:val="1002"/>
        </w:numPr>
      </w:pPr>
      <w:r>
        <w:t xml:space="preserve">Gross margin to expand sequentially through the year.</w:t>
      </w:r>
    </w:p>
    <w:p>
      <w:pPr>
        <w:pStyle w:val="FirstParagraph"/>
      </w:pPr>
      <w:r>
        <w:t xml:space="preserve">The upcoming outlook needs to substantiate those claims. A credible recovery guide would likely include:</w:t>
      </w:r>
    </w:p>
    <w:p>
      <w:pPr>
        <w:pStyle w:val="Compact"/>
        <w:numPr>
          <w:ilvl w:val="0"/>
          <w:numId w:val="1003"/>
        </w:numPr>
      </w:pPr>
      <w:r>
        <w:t xml:space="preserve">Sequential Q3 revenue growth despite continued noncore exits.</w:t>
      </w:r>
    </w:p>
    <w:p>
      <w:pPr>
        <w:pStyle w:val="Compact"/>
        <w:numPr>
          <w:ilvl w:val="0"/>
          <w:numId w:val="1003"/>
        </w:numPr>
      </w:pPr>
      <w:r>
        <w:t xml:space="preserve">Additional gross-margin expansion.</w:t>
      </w:r>
    </w:p>
    <w:p>
      <w:pPr>
        <w:pStyle w:val="Compact"/>
        <w:numPr>
          <w:ilvl w:val="0"/>
          <w:numId w:val="1003"/>
        </w:numPr>
      </w:pPr>
      <w:r>
        <w:t xml:space="preserve">Improving automotive order visibility, even if actual revenue recovery remains gradual.</w:t>
      </w:r>
    </w:p>
    <w:p>
      <w:pPr>
        <w:pStyle w:val="Compact"/>
        <w:numPr>
          <w:ilvl w:val="0"/>
          <w:numId w:val="1003"/>
        </w:numPr>
      </w:pPr>
      <w:r>
        <w:t xml:space="preserve">Continued broad industrial growth rather than strength concentrated in one or two applications.</w:t>
      </w:r>
    </w:p>
    <w:p>
      <w:pPr>
        <w:pStyle w:val="Compact"/>
        <w:numPr>
          <w:ilvl w:val="0"/>
          <w:numId w:val="1003"/>
        </w:numPr>
      </w:pPr>
      <w:r>
        <w:t xml:space="preserve">No pullback in the full-year AI data-center outlook.</w:t>
      </w:r>
    </w:p>
    <w:p>
      <w:pPr>
        <w:pStyle w:val="FirstParagraph"/>
      </w:pPr>
      <w:r>
        <w:t xml:space="preserve">The biggest risk is that stronger short-lead-time orders and expedites seen in Q1 reflected temporary customer urgency rather than a sustainable replenishment cycle.</w:t>
      </w:r>
    </w:p>
    <w:p>
      <w:r>
        <w:pict>
          <v:rect style="width:0;height:1.5pt" o:hralign="center" o:hrstd="t" o:hr="t"/>
        </w:pict>
      </w:r>
    </w:p>
    <w:bookmarkEnd w:id="14"/>
    <w:bookmarkStart w:id="15" w:name="X7a62b6fc58ae0fbbc9470990895e120f157ad9f"/>
    <w:p>
      <w:pPr>
        <w:pStyle w:val="Heading2"/>
      </w:pPr>
      <w:r>
        <w:t xml:space="preserve">2. AI data centers are now central to the investment case</w:t>
      </w:r>
    </w:p>
    <w:p>
      <w:pPr>
        <w:pStyle w:val="FirstParagraph"/>
      </w:pPr>
      <w:r>
        <w:t xml:space="preserve">AI data-center revenue grew more than</w:t>
      </w:r>
      <w:r>
        <w:t xml:space="preserve"> </w:t>
      </w:r>
      <w:r>
        <w:rPr>
          <w:b/>
          <w:bCs/>
        </w:rPr>
        <w:t xml:space="preserve">30% sequentially in Q1</w:t>
      </w:r>
      <w:r>
        <w:t xml:space="preserve">, substantially faster than management had anticipated. The company also raised its 2026 outlook to approximately double the roughly</w:t>
      </w:r>
      <w:r>
        <w:t xml:space="preserve"> </w:t>
      </w:r>
      <w:r>
        <w:rPr>
          <w:b/>
          <w:bCs/>
        </w:rPr>
        <w:t xml:space="preserve">$250 million</w:t>
      </w:r>
      <w:r>
        <w:t xml:space="preserve"> </w:t>
      </w:r>
      <w:r>
        <w:t xml:space="preserve">generated in 2025, implying a business approaching $500 million this year. onsemi is positioning itself across the power tree—from high-voltage conversion and rack-level power to lower-voltage power delivery near CPUs, GPUs and custom accelerators. (</w:t>
      </w:r>
      <w:hyperlink r:id="rId12">
        <w:r>
          <w:rPr>
            <w:rStyle w:val="Hyperlink"/>
          </w:rPr>
          <w:t xml:space="preserve">investor.onsemi.com</w:t>
        </w:r>
      </w:hyperlink>
      <w:r>
        <w:t xml:space="preserve">)</w:t>
      </w:r>
    </w:p>
    <w:p>
      <w:pPr>
        <w:pStyle w:val="BodyText"/>
      </w:pPr>
      <w:r>
        <w:t xml:space="preserve">Investors should listen for:</w:t>
      </w:r>
    </w:p>
    <w:p>
      <w:pPr>
        <w:pStyle w:val="Compact"/>
        <w:numPr>
          <w:ilvl w:val="0"/>
          <w:numId w:val="1004"/>
        </w:numPr>
      </w:pPr>
      <w:r>
        <w:t xml:space="preserve">Whether the full-year doubling outlook is reiterated or raised.</w:t>
      </w:r>
    </w:p>
    <w:p>
      <w:pPr>
        <w:pStyle w:val="Compact"/>
        <w:numPr>
          <w:ilvl w:val="0"/>
          <w:numId w:val="1004"/>
        </w:numPr>
      </w:pPr>
      <w:r>
        <w:t xml:space="preserve">Evidence that growth spans multiple hyperscalers and accelerator platforms.</w:t>
      </w:r>
    </w:p>
    <w:p>
      <w:pPr>
        <w:pStyle w:val="Compact"/>
        <w:numPr>
          <w:ilvl w:val="0"/>
          <w:numId w:val="1004"/>
        </w:numPr>
      </w:pPr>
      <w:r>
        <w:t xml:space="preserve">The relative contribution from high-voltage silicon, silicon carbide, JFET products and mixed-signal power.</w:t>
      </w:r>
    </w:p>
    <w:p>
      <w:pPr>
        <w:pStyle w:val="Compact"/>
        <w:numPr>
          <w:ilvl w:val="0"/>
          <w:numId w:val="1004"/>
        </w:numPr>
      </w:pPr>
      <w:r>
        <w:t xml:space="preserve">Progress in multiphase power controllers and point-of-load products acquired from Aura Semiconductor.</w:t>
      </w:r>
    </w:p>
    <w:p>
      <w:pPr>
        <w:pStyle w:val="Compact"/>
        <w:numPr>
          <w:ilvl w:val="0"/>
          <w:numId w:val="1004"/>
        </w:numPr>
      </w:pPr>
      <w:r>
        <w:t xml:space="preserve">Confirmation that vertical GaN remains on schedule for revenue beginning in 2027.</w:t>
      </w:r>
    </w:p>
    <w:p>
      <w:pPr>
        <w:pStyle w:val="Compact"/>
        <w:numPr>
          <w:ilvl w:val="0"/>
          <w:numId w:val="1004"/>
        </w:numPr>
      </w:pPr>
      <w:r>
        <w:t xml:space="preserve">Whether 800-volt data-center architectures are creating incremental design wins.</w:t>
      </w:r>
    </w:p>
    <w:p>
      <w:pPr>
        <w:pStyle w:val="FirstParagraph"/>
      </w:pPr>
      <w:r>
        <w:t xml:space="preserve">AI strength is especially important because it can improve both revenue growth and mix. It also helps diversify the company away from its historical dependence on automotive and traditional industrial markets.</w:t>
      </w:r>
    </w:p>
    <w:p>
      <w:r>
        <w:pict>
          <v:rect style="width:0;height:1.5pt" o:hralign="center" o:hrstd="t" o:hr="t"/>
        </w:pict>
      </w:r>
    </w:p>
    <w:bookmarkEnd w:id="15"/>
    <w:bookmarkStart w:id="21" w:name="X223df634e849238366c6f5182806dafef2dbeb4"/>
    <w:p>
      <w:pPr>
        <w:pStyle w:val="Heading2"/>
      </w:pPr>
      <w:r>
        <w:t xml:space="preserve">3. Gross margin is the most important financial KPI</w:t>
      </w:r>
    </w:p>
    <w:p>
      <w:pPr>
        <w:pStyle w:val="FirstParagraph"/>
      </w:pPr>
      <w:r>
        <w:t xml:space="preserve">Non-GAAP gross margin has expanded for three consecutive quarters and reached</w:t>
      </w:r>
      <w:r>
        <w:t xml:space="preserve"> </w:t>
      </w:r>
      <w:r>
        <w:rPr>
          <w:b/>
          <w:bCs/>
        </w:rPr>
        <w:t xml:space="preserve">38.5% in Q1</w:t>
      </w:r>
      <w:r>
        <w:t xml:space="preserve">. Q2 guidance calls for 38%–40%, but management had promised sequential expansion through the remainder of 2026. Therefore, a result at or below 38.5% would be disappointing even if technically within guidance. (</w:t>
      </w:r>
      <w:hyperlink r:id="rId12">
        <w:r>
          <w:rPr>
            <w:rStyle w:val="Hyperlink"/>
          </w:rPr>
          <w:t xml:space="preserve">investor.onsemi.com</w:t>
        </w:r>
      </w:hyperlink>
      <w:r>
        <w:t xml:space="preserve">)</w:t>
      </w:r>
    </w:p>
    <w:p>
      <w:pPr>
        <w:pStyle w:val="BodyText"/>
      </w:pPr>
      <w:r>
        <w:t xml:space="preserve">The major moving parts are:</w:t>
      </w:r>
    </w:p>
    <w:bookmarkStart w:id="16" w:name="utilization"/>
    <w:p>
      <w:pPr>
        <w:pStyle w:val="Heading3"/>
      </w:pPr>
      <w:r>
        <w:t xml:space="preserve">Utilization</w:t>
      </w:r>
    </w:p>
    <w:p>
      <w:pPr>
        <w:pStyle w:val="FirstParagraph"/>
      </w:pPr>
      <w:r>
        <w:t xml:space="preserve">Manufacturing utilization reached</w:t>
      </w:r>
      <w:r>
        <w:t xml:space="preserve"> </w:t>
      </w:r>
      <w:r>
        <w:rPr>
          <w:b/>
          <w:bCs/>
        </w:rPr>
        <w:t xml:space="preserve">77% in Q1</w:t>
      </w:r>
      <w:r>
        <w:t xml:space="preserve">, up sharply as onsemi increased internal loadings in response to improving orders. Management has previously estimated that each percentage point of additional utilization contributes approximately</w:t>
      </w:r>
      <w:r>
        <w:t xml:space="preserve"> </w:t>
      </w:r>
      <w:r>
        <w:rPr>
          <w:b/>
          <w:bCs/>
        </w:rPr>
        <w:t xml:space="preserve">25–30 basis points</w:t>
      </w:r>
      <w:r>
        <w:t xml:space="preserve"> </w:t>
      </w:r>
      <w:r>
        <w:t xml:space="preserve">to gross margin.</w:t>
      </w:r>
    </w:p>
    <w:p>
      <w:pPr>
        <w:pStyle w:val="BodyText"/>
      </w:pPr>
      <w:r>
        <w:t xml:space="preserve">Investors should look for utilization moving above 77% and for confirmation that production increases are aligned with firm demand.</w:t>
      </w:r>
    </w:p>
    <w:bookmarkEnd w:id="16"/>
    <w:bookmarkStart w:id="17" w:name="pricing-versus-input-costs"/>
    <w:p>
      <w:pPr>
        <w:pStyle w:val="Heading3"/>
      </w:pPr>
      <w:r>
        <w:t xml:space="preserve">Pricing versus input costs</w:t>
      </w:r>
    </w:p>
    <w:p>
      <w:pPr>
        <w:pStyle w:val="FirstParagraph"/>
      </w:pPr>
      <w:r>
        <w:t xml:space="preserve">Higher material and energy costs were already affecting the income statement in Q1, while corresponding customer pricing actions were expected to become visible during the second half. Management should quantify whether pricing is now offsetting those costs.</w:t>
      </w:r>
    </w:p>
    <w:bookmarkEnd w:id="17"/>
    <w:bookmarkStart w:id="18" w:name="mix-and-portfolio-exits"/>
    <w:p>
      <w:pPr>
        <w:pStyle w:val="Heading3"/>
      </w:pPr>
      <w:r>
        <w:t xml:space="preserve">Mix and portfolio exits</w:t>
      </w:r>
    </w:p>
    <w:p>
      <w:pPr>
        <w:pStyle w:val="FirstParagraph"/>
      </w:pPr>
      <w:r>
        <w:t xml:space="preserve">The company is exiting approximately</w:t>
      </w:r>
      <w:r>
        <w:t xml:space="preserve"> </w:t>
      </w:r>
      <w:r>
        <w:rPr>
          <w:b/>
          <w:bCs/>
        </w:rPr>
        <w:t xml:space="preserve">$300 million of annualized noncore revenue during 2026</w:t>
      </w:r>
      <w:r>
        <w:t xml:space="preserve">. That creates a reported revenue headwind, but the objective is to improve profitability and redirect resources toward AI, Treo mixed-signal products, advanced automotive power and sensing.</w:t>
      </w:r>
    </w:p>
    <w:bookmarkEnd w:id="18"/>
    <w:bookmarkStart w:id="20" w:name="fab-right-actions"/>
    <w:p>
      <w:pPr>
        <w:pStyle w:val="Heading3"/>
      </w:pPr>
      <w:r>
        <w:t xml:space="preserve">Fab Right actions</w:t>
      </w:r>
    </w:p>
    <w:p>
      <w:pPr>
        <w:pStyle w:val="FirstParagraph"/>
      </w:pPr>
      <w:r>
        <w:t xml:space="preserve">In July, onsemi agreed to divest facilities in Tarlac, Philippines, and Mountain Top, Pennsylvania. The transactions are expected to produce approximately</w:t>
      </w:r>
      <w:r>
        <w:t xml:space="preserve"> </w:t>
      </w:r>
      <w:r>
        <w:rPr>
          <w:b/>
          <w:bCs/>
        </w:rPr>
        <w:t xml:space="preserve">$35 million in annual cost savings</w:t>
      </w:r>
      <w:r>
        <w:t xml:space="preserve">, beginning in 2027 and reaching the full run rate in 2028. These are long-term rather than immediate Q2 benefits, but management’s commentary could clarify the broader margin roadmap. (</w:t>
      </w:r>
      <w:hyperlink r:id="rId19">
        <w:r>
          <w:rPr>
            <w:rStyle w:val="Hyperlink"/>
          </w:rPr>
          <w:t xml:space="preserve">investor.onsemi.com</w:t>
        </w:r>
      </w:hyperlink>
      <w:r>
        <w:t xml:space="preserve">)</w:t>
      </w:r>
    </w:p>
    <w:p>
      <w:r>
        <w:pict>
          <v:rect style="width:0;height:1.5pt" o:hralign="center" o:hrstd="t" o:hr="t"/>
        </w:pict>
      </w:r>
    </w:p>
    <w:bookmarkEnd w:id="20"/>
    <w:bookmarkEnd w:id="21"/>
    <w:bookmarkStart w:id="22" w:name="X572f1bd6cb0c5d09aa89603a96e3a9df5a3a50e"/>
    <w:p>
      <w:pPr>
        <w:pStyle w:val="Heading2"/>
      </w:pPr>
      <w:r>
        <w:t xml:space="preserve">4. Automotive: stabilization is not yet a full recovery</w:t>
      </w:r>
    </w:p>
    <w:p>
      <w:pPr>
        <w:pStyle w:val="FirstParagraph"/>
      </w:pPr>
      <w:r>
        <w:t xml:space="preserve">Automotive remains onsemi’s largest end market. Q1 automotive revenue was $797 million, approximately flat sequentially but up nearly 5% year over year—the first year-over-year increase after seven quarters of contraction.</w:t>
      </w:r>
    </w:p>
    <w:p>
      <w:pPr>
        <w:pStyle w:val="BodyText"/>
      </w:pPr>
      <w:r>
        <w:t xml:space="preserve">Management characterized shipments as being close to natural demand, with no material customer inventory rebuilding. The geographic pattern was uneven:</w:t>
      </w:r>
    </w:p>
    <w:p>
      <w:pPr>
        <w:pStyle w:val="Compact"/>
        <w:numPr>
          <w:ilvl w:val="0"/>
          <w:numId w:val="1005"/>
        </w:numPr>
      </w:pPr>
      <w:r>
        <w:t xml:space="preserve">China remained the strongest market, particularly for EV and 900-volt platforms.</w:t>
      </w:r>
    </w:p>
    <w:p>
      <w:pPr>
        <w:pStyle w:val="Compact"/>
        <w:numPr>
          <w:ilvl w:val="0"/>
          <w:numId w:val="1005"/>
        </w:numPr>
      </w:pPr>
      <w:r>
        <w:t xml:space="preserve">North America was improving selectively.</w:t>
      </w:r>
    </w:p>
    <w:p>
      <w:pPr>
        <w:pStyle w:val="Compact"/>
        <w:numPr>
          <w:ilvl w:val="0"/>
          <w:numId w:val="1005"/>
        </w:numPr>
      </w:pPr>
      <w:r>
        <w:t xml:space="preserve">Europe remained soft.</w:t>
      </w:r>
    </w:p>
    <w:p>
      <w:pPr>
        <w:pStyle w:val="Compact"/>
        <w:numPr>
          <w:ilvl w:val="0"/>
          <w:numId w:val="1005"/>
        </w:numPr>
      </w:pPr>
      <w:r>
        <w:t xml:space="preserve">Content growth and market-share gains were more important than industry vehicle-production growth.</w:t>
      </w:r>
    </w:p>
    <w:p>
      <w:pPr>
        <w:pStyle w:val="FirstParagraph"/>
      </w:pPr>
      <w:r>
        <w:t xml:space="preserve">The most relevant questions are:</w:t>
      </w:r>
    </w:p>
    <w:p>
      <w:pPr>
        <w:pStyle w:val="Compact"/>
        <w:numPr>
          <w:ilvl w:val="0"/>
          <w:numId w:val="1006"/>
        </w:numPr>
      </w:pPr>
      <w:r>
        <w:t xml:space="preserve">Did automotive remain flat in Q2 as expected?</w:t>
      </w:r>
    </w:p>
    <w:p>
      <w:pPr>
        <w:pStyle w:val="Compact"/>
        <w:numPr>
          <w:ilvl w:val="0"/>
          <w:numId w:val="1006"/>
        </w:numPr>
      </w:pPr>
      <w:r>
        <w:t xml:space="preserve">Are orders or backlog indicating sequential growth in Q3?</w:t>
      </w:r>
    </w:p>
    <w:p>
      <w:pPr>
        <w:pStyle w:val="Compact"/>
        <w:numPr>
          <w:ilvl w:val="0"/>
          <w:numId w:val="1006"/>
        </w:numPr>
      </w:pPr>
      <w:r>
        <w:t xml:space="preserve">Have OEMs begun securing inventory directly as lead times extend?</w:t>
      </w:r>
    </w:p>
    <w:p>
      <w:pPr>
        <w:pStyle w:val="Compact"/>
        <w:numPr>
          <w:ilvl w:val="0"/>
          <w:numId w:val="1006"/>
        </w:numPr>
      </w:pPr>
      <w:r>
        <w:t xml:space="preserve">Is silicon-carbide demand improving outside China?</w:t>
      </w:r>
    </w:p>
    <w:p>
      <w:pPr>
        <w:pStyle w:val="Compact"/>
        <w:numPr>
          <w:ilvl w:val="0"/>
          <w:numId w:val="1006"/>
        </w:numPr>
      </w:pPr>
      <w:r>
        <w:t xml:space="preserve">Are cost-optimized IGBT platforms complementing rather than cannibalizing silicon carbide?</w:t>
      </w:r>
    </w:p>
    <w:p>
      <w:pPr>
        <w:pStyle w:val="Compact"/>
        <w:numPr>
          <w:ilvl w:val="0"/>
          <w:numId w:val="1006"/>
        </w:numPr>
      </w:pPr>
      <w:r>
        <w:t xml:space="preserve">Is the transition toward zonal architectures producing meaningful Treo revenue?</w:t>
      </w:r>
    </w:p>
    <w:p>
      <w:pPr>
        <w:pStyle w:val="FirstParagraph"/>
      </w:pPr>
      <w:r>
        <w:t xml:space="preserve">A bullish outcome does not require a dramatic Q2 automotive rebound. It does require better second-half visibility without signs that onsemi is overproducing ahead of demand.</w:t>
      </w:r>
    </w:p>
    <w:p>
      <w:r>
        <w:pict>
          <v:rect style="width:0;height:1.5pt" o:hralign="center" o:hrstd="t" o:hr="t"/>
        </w:pict>
      </w:r>
    </w:p>
    <w:bookmarkEnd w:id="22"/>
    <w:bookmarkStart w:id="23" w:name="X54f9eef8ef77eef693af701c2b27923473e7a17"/>
    <w:p>
      <w:pPr>
        <w:pStyle w:val="Heading2"/>
      </w:pPr>
      <w:r>
        <w:t xml:space="preserve">5. Inventory needs close scrutiny</w:t>
      </w:r>
    </w:p>
    <w:p>
      <w:pPr>
        <w:pStyle w:val="FirstParagraph"/>
      </w:pPr>
      <w:r>
        <w:t xml:space="preserve">Q1 inventory increased by approximately $60 million to</w:t>
      </w:r>
      <w:r>
        <w:t xml:space="preserve"> </w:t>
      </w:r>
      <w:r>
        <w:rPr>
          <w:b/>
          <w:bCs/>
        </w:rPr>
        <w:t xml:space="preserve">201 days</w:t>
      </w:r>
      <w:r>
        <w:t xml:space="preserve">, including:</w:t>
      </w:r>
    </w:p>
    <w:p>
      <w:pPr>
        <w:pStyle w:val="Compact"/>
        <w:numPr>
          <w:ilvl w:val="0"/>
          <w:numId w:val="1007"/>
        </w:numPr>
      </w:pPr>
      <w:r>
        <w:rPr>
          <w:b/>
          <w:bCs/>
        </w:rPr>
        <w:t xml:space="preserve">75 days</w:t>
      </w:r>
      <w:r>
        <w:t xml:space="preserve"> </w:t>
      </w:r>
      <w:r>
        <w:t xml:space="preserve">of strategic inventory.</w:t>
      </w:r>
    </w:p>
    <w:p>
      <w:pPr>
        <w:pStyle w:val="Compact"/>
        <w:numPr>
          <w:ilvl w:val="0"/>
          <w:numId w:val="1007"/>
        </w:numPr>
      </w:pPr>
      <w:r>
        <w:rPr>
          <w:b/>
          <w:bCs/>
        </w:rPr>
        <w:t xml:space="preserve">126 days</w:t>
      </w:r>
      <w:r>
        <w:t xml:space="preserve"> </w:t>
      </w:r>
      <w:r>
        <w:t xml:space="preserve">of base inventory.</w:t>
      </w:r>
    </w:p>
    <w:p>
      <w:pPr>
        <w:pStyle w:val="Compact"/>
        <w:numPr>
          <w:ilvl w:val="0"/>
          <w:numId w:val="1007"/>
        </w:numPr>
      </w:pPr>
      <w:r>
        <w:t xml:space="preserve">Distribution inventory of approximately</w:t>
      </w:r>
      <w:r>
        <w:t xml:space="preserve"> </w:t>
      </w:r>
      <w:r>
        <w:rPr>
          <w:b/>
          <w:bCs/>
        </w:rPr>
        <w:t xml:space="preserve">10.8 weeks</w:t>
      </w:r>
      <w:r>
        <w:t xml:space="preserve">.</w:t>
      </w:r>
    </w:p>
    <w:p>
      <w:pPr>
        <w:pStyle w:val="FirstParagraph"/>
      </w:pPr>
      <w:r>
        <w:t xml:space="preserve">Management attributed the increase to higher internal factory loadings and customer commitments. That explanation is acceptable at the beginning of a recovery, but only if revenue and backlog subsequently validate the production increase.</w:t>
      </w:r>
    </w:p>
    <w:p>
      <w:pPr>
        <w:pStyle w:val="BodyText"/>
      </w:pPr>
      <w:r>
        <w:t xml:space="preserve">Watch for:</w:t>
      </w:r>
    </w:p>
    <w:p>
      <w:pPr>
        <w:pStyle w:val="Compact"/>
        <w:numPr>
          <w:ilvl w:val="0"/>
          <w:numId w:val="1008"/>
        </w:numPr>
      </w:pPr>
      <w:r>
        <w:t xml:space="preserve">Total inventory dollars and days.</w:t>
      </w:r>
    </w:p>
    <w:p>
      <w:pPr>
        <w:pStyle w:val="Compact"/>
        <w:numPr>
          <w:ilvl w:val="0"/>
          <w:numId w:val="1008"/>
        </w:numPr>
      </w:pPr>
      <w:r>
        <w:t xml:space="preserve">Strategic inventory depletion.</w:t>
      </w:r>
    </w:p>
    <w:p>
      <w:pPr>
        <w:pStyle w:val="Compact"/>
        <w:numPr>
          <w:ilvl w:val="0"/>
          <w:numId w:val="1008"/>
        </w:numPr>
      </w:pPr>
      <w:r>
        <w:t xml:space="preserve">Distribution inventory remaining near the stated 9–11 week target.</w:t>
      </w:r>
    </w:p>
    <w:p>
      <w:pPr>
        <w:pStyle w:val="Compact"/>
        <w:numPr>
          <w:ilvl w:val="0"/>
          <w:numId w:val="1008"/>
        </w:numPr>
      </w:pPr>
      <w:r>
        <w:t xml:space="preserve">Changes in lead times and backlog coverage.</w:t>
      </w:r>
    </w:p>
    <w:p>
      <w:pPr>
        <w:pStyle w:val="Compact"/>
        <w:numPr>
          <w:ilvl w:val="0"/>
          <w:numId w:val="1008"/>
        </w:numPr>
      </w:pPr>
      <w:r>
        <w:t xml:space="preserve">Whether customers are placing longer-term orders rather than relying on expedites.</w:t>
      </w:r>
    </w:p>
    <w:p>
      <w:pPr>
        <w:pStyle w:val="FirstParagraph"/>
      </w:pPr>
      <w:r>
        <w:t xml:space="preserve">Another large inventory increase paired with cautious Q3 guidance would undermine the recovery thesis.</w:t>
      </w:r>
    </w:p>
    <w:p>
      <w:r>
        <w:pict>
          <v:rect style="width:0;height:1.5pt" o:hralign="center" o:hrstd="t" o:hr="t"/>
        </w:pict>
      </w:r>
    </w:p>
    <w:bookmarkEnd w:id="23"/>
    <w:bookmarkStart w:id="24" w:name="Xe160e6d4cb2bd36e0fa4f96a30296665c0d1bff"/>
    <w:p>
      <w:pPr>
        <w:pStyle w:val="Heading2"/>
      </w:pPr>
      <w:r>
        <w:t xml:space="preserve">6. Synaptics may dominate the call</w:t>
      </w:r>
    </w:p>
    <w:p>
      <w:pPr>
        <w:pStyle w:val="FirstParagraph"/>
      </w:pPr>
      <w:r>
        <w:t xml:space="preserve">On June 25, onsemi agreed to acquire Synaptics in an all-stock transaction with an enterprise value of approximately</w:t>
      </w:r>
      <w:r>
        <w:t xml:space="preserve"> </w:t>
      </w:r>
      <w:r>
        <w:rPr>
          <w:b/>
          <w:bCs/>
        </w:rPr>
        <w:t xml:space="preserve">$7 billion</w:t>
      </w:r>
      <w:r>
        <w:t xml:space="preserve">. Synaptics holders would receive</w:t>
      </w:r>
      <w:r>
        <w:t xml:space="preserve"> </w:t>
      </w:r>
      <w:r>
        <w:rPr>
          <w:b/>
          <w:bCs/>
        </w:rPr>
        <w:t xml:space="preserve">1.35 ON shares per share</w:t>
      </w:r>
      <w:r>
        <w:t xml:space="preserve"> </w:t>
      </w:r>
      <w:r>
        <w:t xml:space="preserve">and own approximately</w:t>
      </w:r>
      <w:r>
        <w:t xml:space="preserve"> </w:t>
      </w:r>
      <w:r>
        <w:rPr>
          <w:b/>
          <w:bCs/>
        </w:rPr>
        <w:t xml:space="preserve">12% of the combined company</w:t>
      </w:r>
      <w:r>
        <w:t xml:space="preserve"> </w:t>
      </w:r>
      <w:r>
        <w:t xml:space="preserve">on a fully diluted basis. The deal is expected to close in mid-2027, produce $200 million of annual synergies and become accretive to non-GAAP EPS within 18 months of closing. (</w:t>
      </w:r>
      <w:hyperlink r:id="rId10">
        <w:r>
          <w:rPr>
            <w:rStyle w:val="Hyperlink"/>
          </w:rPr>
          <w:t xml:space="preserve">investor.onsemi.com</w:t>
        </w:r>
      </w:hyperlink>
      <w:r>
        <w:t xml:space="preserve">)</w:t>
      </w:r>
    </w:p>
    <w:p>
      <w:pPr>
        <w:pStyle w:val="BodyText"/>
      </w:pPr>
      <w:r>
        <w:t xml:space="preserve">Management’s strategic argument is that Synaptics adds edge-AI compute, connectivity, software and human-machine-interface capabilities to onsemi’s existing power and sensing portfolio. The combined company would address “physical AI” systems that sense, process information and act in real time.</w:t>
      </w:r>
    </w:p>
    <w:p>
      <w:pPr>
        <w:pStyle w:val="BodyText"/>
      </w:pPr>
      <w:r>
        <w:t xml:space="preserve">Investors’ concerns are equally clear:</w:t>
      </w:r>
    </w:p>
    <w:p>
      <w:pPr>
        <w:pStyle w:val="Compact"/>
        <w:numPr>
          <w:ilvl w:val="0"/>
          <w:numId w:val="1009"/>
        </w:numPr>
      </w:pPr>
      <w:r>
        <w:t xml:space="preserve">The deal is large relative to onsemi.</w:t>
      </w:r>
    </w:p>
    <w:p>
      <w:pPr>
        <w:pStyle w:val="Compact"/>
        <w:numPr>
          <w:ilvl w:val="0"/>
          <w:numId w:val="1009"/>
        </w:numPr>
      </w:pPr>
      <w:r>
        <w:t xml:space="preserve">The all-stock structure creates dilution.</w:t>
      </w:r>
    </w:p>
    <w:p>
      <w:pPr>
        <w:pStyle w:val="Compact"/>
        <w:numPr>
          <w:ilvl w:val="0"/>
          <w:numId w:val="1009"/>
        </w:numPr>
      </w:pPr>
      <w:r>
        <w:t xml:space="preserve">Synaptics increases exposure to markets outside onsemi’s traditional automotive and industrial focus.</w:t>
      </w:r>
    </w:p>
    <w:p>
      <w:pPr>
        <w:pStyle w:val="Compact"/>
        <w:numPr>
          <w:ilvl w:val="0"/>
          <w:numId w:val="1009"/>
        </w:numPr>
      </w:pPr>
      <w:r>
        <w:t xml:space="preserve">Integration could distract management during an important cyclical recovery.</w:t>
      </w:r>
    </w:p>
    <w:p>
      <w:pPr>
        <w:pStyle w:val="Compact"/>
        <w:numPr>
          <w:ilvl w:val="0"/>
          <w:numId w:val="1009"/>
        </w:numPr>
      </w:pPr>
      <w:r>
        <w:t xml:space="preserve">The strategic fit is less immediately apparent than investing further in power semiconductors and AI data centers.</w:t>
      </w:r>
    </w:p>
    <w:p>
      <w:pPr>
        <w:pStyle w:val="Compact"/>
        <w:numPr>
          <w:ilvl w:val="0"/>
          <w:numId w:val="1009"/>
        </w:numPr>
      </w:pPr>
      <w:r>
        <w:t xml:space="preserve">The $200 million synergy target needs a detailed, credible bridge.</w:t>
      </w:r>
    </w:p>
    <w:p>
      <w:pPr>
        <w:pStyle w:val="FirstParagraph"/>
      </w:pPr>
      <w:r>
        <w:t xml:space="preserve">Useful commentary would include:</w:t>
      </w:r>
    </w:p>
    <w:p>
      <w:pPr>
        <w:pStyle w:val="Compact"/>
        <w:numPr>
          <w:ilvl w:val="0"/>
          <w:numId w:val="1010"/>
        </w:numPr>
      </w:pPr>
      <w:r>
        <w:t xml:space="preserve">Specific revenue synergies rather than only an expanded addressable market.</w:t>
      </w:r>
    </w:p>
    <w:p>
      <w:pPr>
        <w:pStyle w:val="Compact"/>
        <w:numPr>
          <w:ilvl w:val="0"/>
          <w:numId w:val="1010"/>
        </w:numPr>
      </w:pPr>
      <w:r>
        <w:t xml:space="preserve">How much of the $200 million target comes from operating expenses versus manufacturing and procurement.</w:t>
      </w:r>
    </w:p>
    <w:p>
      <w:pPr>
        <w:pStyle w:val="Compact"/>
        <w:numPr>
          <w:ilvl w:val="0"/>
          <w:numId w:val="1010"/>
        </w:numPr>
      </w:pPr>
      <w:r>
        <w:t xml:space="preserve">Whether the transaction alters onsemi’s standalone R&amp;D priorities.</w:t>
      </w:r>
    </w:p>
    <w:p>
      <w:pPr>
        <w:pStyle w:val="Compact"/>
        <w:numPr>
          <w:ilvl w:val="0"/>
          <w:numId w:val="1010"/>
        </w:numPr>
      </w:pPr>
      <w:r>
        <w:t xml:space="preserve">Integration milestones and management accountability.</w:t>
      </w:r>
    </w:p>
    <w:p>
      <w:pPr>
        <w:pStyle w:val="Compact"/>
        <w:numPr>
          <w:ilvl w:val="0"/>
          <w:numId w:val="1010"/>
        </w:numPr>
      </w:pPr>
      <w:r>
        <w:t xml:space="preserve">Confirmation that the existing capital-return policy remains in place during the pendency period.</w:t>
      </w:r>
    </w:p>
    <w:p>
      <w:pPr>
        <w:pStyle w:val="Compact"/>
        <w:numPr>
          <w:ilvl w:val="0"/>
          <w:numId w:val="1010"/>
        </w:numPr>
      </w:pPr>
      <w:r>
        <w:t xml:space="preserve">Evidence that customers are asking for combined power, sensing, connectivity and edge-compute solutions.</w:t>
      </w:r>
    </w:p>
    <w:p>
      <w:pPr>
        <w:pStyle w:val="FirstParagraph"/>
      </w:pPr>
      <w:r>
        <w:t xml:space="preserve">The earnings call is an opportunity for management to reframe the acquisition from an expensive strategic pivot into a disciplined extension of the core portfolio.</w:t>
      </w:r>
    </w:p>
    <w:p>
      <w:r>
        <w:pict>
          <v:rect style="width:0;height:1.5pt" o:hralign="center" o:hrstd="t" o:hr="t"/>
        </w:pict>
      </w:r>
    </w:p>
    <w:bookmarkEnd w:id="24"/>
    <w:bookmarkStart w:id="28" w:name="potential-reaction-framework"/>
    <w:p>
      <w:pPr>
        <w:pStyle w:val="Heading2"/>
      </w:pPr>
      <w:r>
        <w:t xml:space="preserve">Potential reaction framework</w:t>
      </w:r>
    </w:p>
    <w:bookmarkStart w:id="25" w:name="bull-case"/>
    <w:p>
      <w:pPr>
        <w:pStyle w:val="Heading3"/>
      </w:pPr>
      <w:r>
        <w:t xml:space="preserve">Bull case</w:t>
      </w:r>
    </w:p>
    <w:p>
      <w:pPr>
        <w:pStyle w:val="FirstParagraph"/>
      </w:pPr>
      <w:r>
        <w:t xml:space="preserve">A distinctly positive report would probably contain most of the following:</w:t>
      </w:r>
    </w:p>
    <w:p>
      <w:pPr>
        <w:pStyle w:val="Compact"/>
        <w:numPr>
          <w:ilvl w:val="0"/>
          <w:numId w:val="1011"/>
        </w:numPr>
      </w:pPr>
      <w:r>
        <w:t xml:space="preserve">Revenue above approximately $1.60 billion.</w:t>
      </w:r>
    </w:p>
    <w:p>
      <w:pPr>
        <w:pStyle w:val="Compact"/>
        <w:numPr>
          <w:ilvl w:val="0"/>
          <w:numId w:val="1011"/>
        </w:numPr>
      </w:pPr>
      <w:r>
        <w:t xml:space="preserve">Gross margin near or above 40%.</w:t>
      </w:r>
    </w:p>
    <w:p>
      <w:pPr>
        <w:pStyle w:val="Compact"/>
        <w:numPr>
          <w:ilvl w:val="0"/>
          <w:numId w:val="1011"/>
        </w:numPr>
      </w:pPr>
      <w:r>
        <w:t xml:space="preserve">EPS toward or above the top of the</w:t>
      </w:r>
      <w:r>
        <w:t xml:space="preserve"> </w:t>
      </w:r>
      <m:oMath>
        <m:r>
          <m:t>0.65</m:t>
        </m:r>
        <m:r>
          <m:rPr>
            <m:sty m:val="p"/>
          </m:rPr>
          <m:t>–</m:t>
        </m:r>
      </m:oMath>
      <w:r>
        <w:t xml:space="preserve">0.77 range.</w:t>
      </w:r>
    </w:p>
    <w:p>
      <w:pPr>
        <w:pStyle w:val="Compact"/>
        <w:numPr>
          <w:ilvl w:val="0"/>
          <w:numId w:val="1011"/>
        </w:numPr>
      </w:pPr>
      <w:r>
        <w:t xml:space="preserve">Sequential Q3 revenue and gross-margin growth.</w:t>
      </w:r>
    </w:p>
    <w:p>
      <w:pPr>
        <w:pStyle w:val="Compact"/>
        <w:numPr>
          <w:ilvl w:val="0"/>
          <w:numId w:val="1011"/>
        </w:numPr>
      </w:pPr>
      <w:r>
        <w:t xml:space="preserve">AI data-center guidance maintained or raised.</w:t>
      </w:r>
    </w:p>
    <w:p>
      <w:pPr>
        <w:pStyle w:val="Compact"/>
        <w:numPr>
          <w:ilvl w:val="0"/>
          <w:numId w:val="1011"/>
        </w:numPr>
      </w:pPr>
      <w:r>
        <w:t xml:space="preserve">Improving automotive backlog without channel inventory building.</w:t>
      </w:r>
    </w:p>
    <w:p>
      <w:pPr>
        <w:pStyle w:val="Compact"/>
        <w:numPr>
          <w:ilvl w:val="0"/>
          <w:numId w:val="1011"/>
        </w:numPr>
      </w:pPr>
      <w:r>
        <w:t xml:space="preserve">Stable or declining inventory days.</w:t>
      </w:r>
    </w:p>
    <w:p>
      <w:pPr>
        <w:pStyle w:val="Compact"/>
        <w:numPr>
          <w:ilvl w:val="0"/>
          <w:numId w:val="1011"/>
        </w:numPr>
      </w:pPr>
      <w:r>
        <w:t xml:space="preserve">More concrete Synaptics synergy and integration details.</w:t>
      </w:r>
    </w:p>
    <w:bookmarkEnd w:id="25"/>
    <w:bookmarkStart w:id="26" w:name="base-case"/>
    <w:p>
      <w:pPr>
        <w:pStyle w:val="Heading3"/>
      </w:pPr>
      <w:r>
        <w:t xml:space="preserve">Base case</w:t>
      </w:r>
    </w:p>
    <w:p>
      <w:pPr>
        <w:pStyle w:val="Compact"/>
        <w:numPr>
          <w:ilvl w:val="0"/>
          <w:numId w:val="1012"/>
        </w:numPr>
      </w:pPr>
      <w:r>
        <w:t xml:space="preserve">Q2 results near the midpoint.</w:t>
      </w:r>
    </w:p>
    <w:p>
      <w:pPr>
        <w:pStyle w:val="Compact"/>
        <w:numPr>
          <w:ilvl w:val="0"/>
          <w:numId w:val="1012"/>
        </w:numPr>
      </w:pPr>
      <w:r>
        <w:t xml:space="preserve">Q3 revenue grows modestly sequentially.</w:t>
      </w:r>
    </w:p>
    <w:p>
      <w:pPr>
        <w:pStyle w:val="Compact"/>
        <w:numPr>
          <w:ilvl w:val="0"/>
          <w:numId w:val="1012"/>
        </w:numPr>
      </w:pPr>
      <w:r>
        <w:t xml:space="preserve">Gross margin improves by another 50–100 basis points.</w:t>
      </w:r>
    </w:p>
    <w:p>
      <w:pPr>
        <w:pStyle w:val="Compact"/>
        <w:numPr>
          <w:ilvl w:val="0"/>
          <w:numId w:val="1012"/>
        </w:numPr>
      </w:pPr>
      <w:r>
        <w:t xml:space="preserve">AI data-center outlook is unchanged.</w:t>
      </w:r>
    </w:p>
    <w:p>
      <w:pPr>
        <w:pStyle w:val="Compact"/>
        <w:numPr>
          <w:ilvl w:val="0"/>
          <w:numId w:val="1012"/>
        </w:numPr>
      </w:pPr>
      <w:r>
        <w:t xml:space="preserve">Automotive remains stable but lacks a clear restocking catalyst.</w:t>
      </w:r>
    </w:p>
    <w:p>
      <w:pPr>
        <w:pStyle w:val="Compact"/>
        <w:numPr>
          <w:ilvl w:val="0"/>
          <w:numId w:val="1012"/>
        </w:numPr>
      </w:pPr>
      <w:r>
        <w:t xml:space="preserve">Management reiterates the Synaptics rationale without providing much incremental detail.</w:t>
      </w:r>
    </w:p>
    <w:p>
      <w:pPr>
        <w:pStyle w:val="FirstParagraph"/>
      </w:pPr>
      <w:r>
        <w:t xml:space="preserve">This would preserve the recovery thesis but may not fully overcome the acquisition overhang.</w:t>
      </w:r>
    </w:p>
    <w:bookmarkEnd w:id="26"/>
    <w:bookmarkStart w:id="27" w:name="bear-case"/>
    <w:p>
      <w:pPr>
        <w:pStyle w:val="Heading3"/>
      </w:pPr>
      <w:r>
        <w:t xml:space="preserve">Bear case</w:t>
      </w:r>
    </w:p>
    <w:p>
      <w:pPr>
        <w:pStyle w:val="Compact"/>
        <w:numPr>
          <w:ilvl w:val="0"/>
          <w:numId w:val="1013"/>
        </w:numPr>
      </w:pPr>
      <w:r>
        <w:t xml:space="preserve">Revenue lands in the lower half of guidance.</w:t>
      </w:r>
    </w:p>
    <w:p>
      <w:pPr>
        <w:pStyle w:val="Compact"/>
        <w:numPr>
          <w:ilvl w:val="0"/>
          <w:numId w:val="1013"/>
        </w:numPr>
      </w:pPr>
      <w:r>
        <w:t xml:space="preserve">Gross margin remains around 38.5% or declines.</w:t>
      </w:r>
    </w:p>
    <w:p>
      <w:pPr>
        <w:pStyle w:val="Compact"/>
        <w:numPr>
          <w:ilvl w:val="0"/>
          <w:numId w:val="1013"/>
        </w:numPr>
      </w:pPr>
      <w:r>
        <w:t xml:space="preserve">Q3 guidance is flat or down sequentially.</w:t>
      </w:r>
    </w:p>
    <w:p>
      <w:pPr>
        <w:pStyle w:val="Compact"/>
        <w:numPr>
          <w:ilvl w:val="0"/>
          <w:numId w:val="1013"/>
        </w:numPr>
      </w:pPr>
      <w:r>
        <w:t xml:space="preserve">AI growth moderates or the full-year doubling outlook is reduced.</w:t>
      </w:r>
    </w:p>
    <w:p>
      <w:pPr>
        <w:pStyle w:val="Compact"/>
        <w:numPr>
          <w:ilvl w:val="0"/>
          <w:numId w:val="1013"/>
        </w:numPr>
      </w:pPr>
      <w:r>
        <w:t xml:space="preserve">Inventory rises faster than revenue.</w:t>
      </w:r>
    </w:p>
    <w:p>
      <w:pPr>
        <w:pStyle w:val="Compact"/>
        <w:numPr>
          <w:ilvl w:val="0"/>
          <w:numId w:val="1013"/>
        </w:numPr>
      </w:pPr>
      <w:r>
        <w:t xml:space="preserve">Automotive weakness expands beyond Europe.</w:t>
      </w:r>
    </w:p>
    <w:p>
      <w:pPr>
        <w:pStyle w:val="Compact"/>
        <w:numPr>
          <w:ilvl w:val="0"/>
          <w:numId w:val="1013"/>
        </w:numPr>
      </w:pPr>
      <w:r>
        <w:t xml:space="preserve">Management provides limited visibility into Synaptics synergies or standalone capital allocation.</w:t>
      </w:r>
    </w:p>
    <w:p>
      <w:r>
        <w:pict>
          <v:rect style="width:0;height:1.5pt" o:hralign="center" o:hrstd="t" o:hr="t"/>
        </w:pict>
      </w:r>
    </w:p>
    <w:bookmarkEnd w:id="27"/>
    <w:bookmarkEnd w:id="28"/>
    <w:bookmarkStart w:id="30" w:name="bottom-line"/>
    <w:p>
      <w:pPr>
        <w:pStyle w:val="Heading2"/>
      </w:pPr>
      <w:r>
        <w:t xml:space="preserve">Bottom line</w:t>
      </w:r>
    </w:p>
    <w:p>
      <w:pPr>
        <w:pStyle w:val="FirstParagraph"/>
      </w:pPr>
      <w:r>
        <w:t xml:space="preserve">The company has a reasonable chance of meeting or beating its Q2 targets because it reiterated guidance on June 25, close to quarter-end. But the stock’s response will likely depend on</w:t>
      </w:r>
      <w:r>
        <w:t xml:space="preserve"> </w:t>
      </w:r>
      <w:r>
        <w:rPr>
          <w:b/>
          <w:bCs/>
        </w:rPr>
        <w:t xml:space="preserve">Q3 revenue growth, gross-margin progression and management’s ability to restore confidence following the Synaptics announcement</w:t>
      </w:r>
      <w:r>
        <w:t xml:space="preserve">.</w:t>
      </w:r>
    </w:p>
    <w:p>
      <w:pPr>
        <w:pStyle w:val="BodyText"/>
      </w:pPr>
      <w:r>
        <w:t xml:space="preserve">The highest-quality result would show that three things can happen simultaneously:</w:t>
      </w:r>
    </w:p>
    <w:p>
      <w:pPr>
        <w:pStyle w:val="Compact"/>
        <w:numPr>
          <w:ilvl w:val="0"/>
          <w:numId w:val="1014"/>
        </w:numPr>
      </w:pPr>
      <w:r>
        <w:t xml:space="preserve">The cyclical recovery is broadening beyond AI data centers.</w:t>
      </w:r>
    </w:p>
    <w:p>
      <w:pPr>
        <w:pStyle w:val="Compact"/>
        <w:numPr>
          <w:ilvl w:val="0"/>
          <w:numId w:val="1014"/>
        </w:numPr>
      </w:pPr>
      <w:r>
        <w:t xml:space="preserve">Higher utilization and portfolio restructuring are producing visible operating leverage.</w:t>
      </w:r>
    </w:p>
    <w:p>
      <w:pPr>
        <w:pStyle w:val="Compact"/>
        <w:numPr>
          <w:ilvl w:val="0"/>
          <w:numId w:val="1014"/>
        </w:numPr>
      </w:pPr>
      <w:r>
        <w:t xml:space="preserve">The Synaptics transaction will not dilute management’s focus or undermine capital discipline.</w:t>
      </w:r>
    </w:p>
    <w:p>
      <w:pPr>
        <w:pStyle w:val="FirstParagraph"/>
      </w:pPr>
      <w:r>
        <w:t xml:space="preserve">Absent those signals, an in-range Q2 print alone is unlikely to settle the main debate around ON.</w:t>
      </w:r>
    </w:p>
    <w:bookmarkStart w:id="29" w:name="sources"/>
    <w:p>
      <w:pPr>
        <w:pStyle w:val="Heading3"/>
      </w:pPr>
      <w:r>
        <w:t xml:space="preserve">Sources</w:t>
      </w:r>
    </w:p>
    <w:p>
      <w:pPr>
        <w:pStyle w:val="Compact"/>
        <w:numPr>
          <w:ilvl w:val="0"/>
          <w:numId w:val="1015"/>
        </w:numPr>
      </w:pPr>
      <w:r>
        <w:t xml:space="preserve">onsemi Q1 2026 results and Q2 outlook. (</w:t>
      </w:r>
      <w:hyperlink r:id="rId12">
        <w:r>
          <w:rPr>
            <w:rStyle w:val="Hyperlink"/>
          </w:rPr>
          <w:t xml:space="preserve">investor.onsemi.com</w:t>
        </w:r>
      </w:hyperlink>
      <w:r>
        <w:t xml:space="preserve">)</w:t>
      </w:r>
    </w:p>
    <w:p>
      <w:pPr>
        <w:pStyle w:val="Compact"/>
        <w:numPr>
          <w:ilvl w:val="0"/>
          <w:numId w:val="1015"/>
        </w:numPr>
      </w:pPr>
      <w:r>
        <w:t xml:space="preserve">Official Q2 earnings-call schedule. (</w:t>
      </w:r>
      <w:hyperlink r:id="rId9">
        <w:r>
          <w:rPr>
            <w:rStyle w:val="Hyperlink"/>
          </w:rPr>
          <w:t xml:space="preserve">investor.onsemi.com</w:t>
        </w:r>
      </w:hyperlink>
      <w:r>
        <w:t xml:space="preserve">)</w:t>
      </w:r>
    </w:p>
    <w:p>
      <w:pPr>
        <w:pStyle w:val="Compact"/>
        <w:numPr>
          <w:ilvl w:val="0"/>
          <w:numId w:val="1015"/>
        </w:numPr>
      </w:pPr>
      <w:r>
        <w:t xml:space="preserve">Synaptics transaction announcement and terms. (</w:t>
      </w:r>
      <w:hyperlink r:id="rId10">
        <w:r>
          <w:rPr>
            <w:rStyle w:val="Hyperlink"/>
          </w:rPr>
          <w:t xml:space="preserve">investor.onsemi.com</w:t>
        </w:r>
      </w:hyperlink>
      <w:r>
        <w:t xml:space="preserve">)</w:t>
      </w:r>
    </w:p>
    <w:p>
      <w:pPr>
        <w:pStyle w:val="Compact"/>
        <w:numPr>
          <w:ilvl w:val="0"/>
          <w:numId w:val="1015"/>
        </w:numPr>
      </w:pPr>
      <w:r>
        <w:t xml:space="preserve">July 2026 Fab Right divestiture announcement. (</w:t>
      </w:r>
      <w:hyperlink r:id="rId19">
        <w:r>
          <w:rPr>
            <w:rStyle w:val="Hyperlink"/>
          </w:rPr>
          <w:t xml:space="preserve">investor.onsemi.com</w:t>
        </w:r>
      </w:hyperlink>
      <w:r>
        <w:t xml:space="preserve">)</w:t>
      </w:r>
    </w:p>
    <w:bookmarkEnd w:id="29"/>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onsemi.com/events/event-details/onsemi-second-quarter-2026-earnings-conference-call?utm_source=openai" TargetMode="External" /><Relationship Type="http://schemas.openxmlformats.org/officeDocument/2006/relationships/hyperlink" Id="rId10" Target="https://investor.onsemi.com/news-releases/news-release-details/onsemi-acquire-synaptics-enable-next-generation-intelligent?utm_source=openai" TargetMode="External" /><Relationship Type="http://schemas.openxmlformats.org/officeDocument/2006/relationships/hyperlink" Id="rId19" Target="https://investor.onsemi.com/news-releases/news-release-details/onsemi-advances-fab-right-strategy-agreements-divest-two?utm_source=openai" TargetMode="External" /><Relationship Type="http://schemas.openxmlformats.org/officeDocument/2006/relationships/hyperlink" Id="rId12" Target="https://investor.onsemi.com/news-releases/news-release-details/onsemi-reports-first-quarter-2026-result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onsemi.com/events/event-details/onsemi-second-quarter-2026-earnings-conference-call?utm_source=openai" TargetMode="External" /><Relationship Type="http://schemas.openxmlformats.org/officeDocument/2006/relationships/hyperlink" Id="rId10" Target="https://investor.onsemi.com/news-releases/news-release-details/onsemi-acquire-synaptics-enable-next-generation-intelligent?utm_source=openai" TargetMode="External" /><Relationship Type="http://schemas.openxmlformats.org/officeDocument/2006/relationships/hyperlink" Id="rId19" Target="https://investor.onsemi.com/news-releases/news-release-details/onsemi-advances-fab-right-strategy-agreements-divest-two?utm_source=openai" TargetMode="External" /><Relationship Type="http://schemas.openxmlformats.org/officeDocument/2006/relationships/hyperlink" Id="rId12" Target="https://investor.onsemi.com/news-releases/news-release-details/onsemi-reports-first-quarter-2026-result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2026-08-03T00:16:02Z</dcterms:created>
  <dcterms:modified xsi:type="dcterms:W3CDTF">2026-08-03T00:16:02Z</dcterms:modified>
</cp:coreProperties>
</file>

<file path=docProps/custom.xml><?xml version="1.0" encoding="utf-8"?>
<Properties xmlns="http://schemas.openxmlformats.org/officeDocument/2006/custom-properties" xmlns:vt="http://schemas.openxmlformats.org/officeDocument/2006/docPropsVTypes"/>
</file>