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onsemi-on--2q26-earnings-preview"/>
    <w:p>
      <w:pPr>
        <w:pStyle w:val="Heading1"/>
      </w:pPr>
      <w:r>
        <w:t xml:space="preserve">onsemi (ON) — 2Q26 Earnings Preview</w:t>
      </w:r>
    </w:p>
    <w:p>
      <w:pPr>
        <w:pStyle w:val="BlockText"/>
      </w:pPr>
      <w:r>
        <w:rPr>
          <w:b/>
          <w:bCs/>
        </w:rPr>
        <w:t xml:space="preserve">Timing note:</w:t>
      </w:r>
      <w:r>
        <w:t xml:space="preserve"> </w:t>
      </w:r>
      <w:r>
        <w:t xml:space="preserve">Today is</w:t>
      </w:r>
      <w:r>
        <w:t xml:space="preserve"> </w:t>
      </w:r>
      <w:r>
        <w:rPr>
          <w:b/>
          <w:bCs/>
        </w:rPr>
        <w:t xml:space="preserve">Monday, August 3, 2026</w:t>
      </w:r>
      <w:r>
        <w:t xml:space="preserve">. ON is scheduled to report</w:t>
      </w:r>
      <w:r>
        <w:t xml:space="preserve"> </w:t>
      </w:r>
      <w:r>
        <w:rPr>
          <w:b/>
          <w:bCs/>
        </w:rPr>
        <w:t xml:space="preserve">2Q26 results after the U.S. market close today</w:t>
      </w:r>
      <w:r>
        <w:t xml:space="preserve">, rather than tomorrow.</w:t>
      </w:r>
    </w:p>
    <w:bookmarkStart w:id="9" w:name="X359a292f7e8bf17682cd6d7ac2d9706ddd356df"/>
    <w:p>
      <w:pPr>
        <w:pStyle w:val="Heading2"/>
      </w:pPr>
      <w:r>
        <w:t xml:space="preserve">Investment view: the setup is now about validating the recovery—and containing the M&amp;A overhang</w:t>
      </w:r>
    </w:p>
    <w:p>
      <w:pPr>
        <w:pStyle w:val="FirstParagraph"/>
      </w:pPr>
      <w:r>
        <w:t xml:space="preserve">ON enters the print with a more constructive fundamental backdrop than it had a year ago: management has called a cyclical trough, expects the second half of 2026 to outgrow the first, and is seeing tangible strength in AI data-center power, China automotive content, and parts of industrial. The company also has a credible gross-margin recovery framework driven by utilization, manufacturing realignment, portfolio mix, and cost actions.</w:t>
      </w:r>
    </w:p>
    <w:p>
      <w:pPr>
        <w:pStyle w:val="BodyText"/>
      </w:pPr>
      <w:r>
        <w:t xml:space="preserve">But the stock’s narrative changed materially after the June 25 announcement to acquire Synaptics. Investors will now judge ON on two simultaneous questions:</w:t>
      </w:r>
    </w:p>
    <w:p>
      <w:pPr>
        <w:pStyle w:val="Compact"/>
        <w:numPr>
          <w:ilvl w:val="0"/>
          <w:numId w:val="1001"/>
        </w:numPr>
      </w:pPr>
      <w:r>
        <w:rPr>
          <w:b/>
          <w:bCs/>
        </w:rPr>
        <w:t xml:space="preserve">Is the core semiconductor recovery progressing fast enough to support a higher earnings-power trajectory?</w:t>
      </w:r>
    </w:p>
    <w:p>
      <w:pPr>
        <w:pStyle w:val="Compact"/>
        <w:numPr>
          <w:ilvl w:val="0"/>
          <w:numId w:val="1001"/>
        </w:numPr>
      </w:pPr>
      <w:r>
        <w:rPr>
          <w:b/>
          <w:bCs/>
        </w:rPr>
        <w:t xml:space="preserve">Can management make the Synaptics transaction feel strategically and financially disciplined rather than dilutive or distracting?</w:t>
      </w:r>
    </w:p>
    <w:p>
      <w:pPr>
        <w:pStyle w:val="FirstParagraph"/>
      </w:pPr>
      <w:r>
        <w:t xml:space="preserve">The near-term bar should therefore be less about a modest 2Q guide beat and more about the</w:t>
      </w:r>
      <w:r>
        <w:t xml:space="preserve"> </w:t>
      </w:r>
      <w:r>
        <w:rPr>
          <w:b/>
          <w:bCs/>
        </w:rPr>
        <w:t xml:space="preserve">quality of 3Q commentary</w:t>
      </w:r>
      <w:r>
        <w:t xml:space="preserve">: automotive demand, AI data-center growth, gross-margin cadence, inventory, pricing, and confidence in the second-half recovery.</w:t>
      </w:r>
    </w:p>
    <w:bookmarkEnd w:id="9"/>
    <w:bookmarkStart w:id="10" w:name="what-on-guided-for-in-2q26"/>
    <w:p>
      <w:pPr>
        <w:pStyle w:val="Heading2"/>
      </w:pPr>
      <w:r>
        <w:t xml:space="preserve">What ON guided for in 2Q26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guidance</w:t>
            </w:r>
          </w:p>
        </w:tc>
        <w:tc>
          <w:tcPr/>
          <w:p>
            <w:pPr>
              <w:pStyle w:val="Compact"/>
              <w:jc w:val="right"/>
            </w:pPr>
            <w:r>
              <w:t xml:space="preserve">1Q26 actual</w:t>
            </w:r>
          </w:p>
        </w:tc>
        <w:tc>
          <w:tcPr/>
          <w:p>
            <w:pPr>
              <w:pStyle w:val="Compact"/>
            </w:pPr>
            <w:r>
              <w:t xml:space="preserve">What matters</w:t>
            </w:r>
          </w:p>
        </w:tc>
      </w:tr>
      <w:tr>
        <w:tc>
          <w:tcPr/>
          <w:p>
            <w:pPr>
              <w:pStyle w:val="Compact"/>
            </w:pPr>
            <w:r>
              <w:t xml:space="preserve">Revenue</w:t>
            </w:r>
          </w:p>
        </w:tc>
        <w:tc>
          <w:tcPr/>
          <w:p>
            <w:pPr>
              <w:pStyle w:val="Compact"/>
              <w:jc w:val="right"/>
            </w:pPr>
            <m:oMath>
              <m:r>
                <m:t>1.535</m:t>
              </m:r>
              <m:r>
                <m:t>B</m:t>
              </m:r>
              <m:r>
                <m:rPr>
                  <m:sty m:val="p"/>
                </m:rPr>
                <m:t>–</m:t>
              </m:r>
            </m:oMath>
            <w:r>
              <w:rPr>
                <w:b/>
                <w:bCs/>
              </w:rPr>
              <w:t xml:space="preserve">1.635B</w:t>
            </w:r>
          </w:p>
        </w:tc>
        <w:tc>
          <w:tcPr/>
          <w:p>
            <w:pPr>
              <w:pStyle w:val="Compact"/>
              <w:jc w:val="right"/>
            </w:pPr>
            <w:r>
              <w:t xml:space="preserve">$1.513B</w:t>
            </w:r>
          </w:p>
        </w:tc>
        <w:tc>
          <w:tcPr/>
          <w:p>
            <w:pPr>
              <w:pStyle w:val="Compact"/>
            </w:pPr>
            <w:r>
              <w:t xml:space="preserve">Midpoint implies ~5% sequential growth</w:t>
            </w:r>
          </w:p>
        </w:tc>
      </w:tr>
      <w:tr>
        <w:tc>
          <w:tcPr/>
          <w:p>
            <w:pPr>
              <w:pStyle w:val="Compact"/>
            </w:pPr>
            <w:r>
              <w:t xml:space="preserve">Non-GAAP gross margin</w:t>
            </w:r>
          </w:p>
        </w:tc>
        <w:tc>
          <w:tcPr/>
          <w:p>
            <w:pPr>
              <w:pStyle w:val="Compact"/>
              <w:jc w:val="right"/>
            </w:pPr>
            <w:r>
              <w:rPr>
                <w:b/>
                <w:bCs/>
              </w:rPr>
              <w:t xml:space="preserve">38.0%–40.0%</w:t>
            </w:r>
          </w:p>
        </w:tc>
        <w:tc>
          <w:tcPr/>
          <w:p>
            <w:pPr>
              <w:pStyle w:val="Compact"/>
              <w:jc w:val="right"/>
            </w:pPr>
            <w:r>
              <w:t xml:space="preserve">38.5%</w:t>
            </w:r>
          </w:p>
        </w:tc>
        <w:tc>
          <w:tcPr/>
          <w:p>
            <w:pPr>
              <w:pStyle w:val="Compact"/>
            </w:pPr>
            <w:r>
              <w:t xml:space="preserve">A midpoint result implies modest sequential expansion</w:t>
            </w:r>
          </w:p>
        </w:tc>
      </w:tr>
      <w:tr>
        <w:tc>
          <w:tcPr/>
          <w:p>
            <w:pPr>
              <w:pStyle w:val="Compact"/>
            </w:pPr>
            <w:r>
              <w:t xml:space="preserve">Non-GAAP operating expense</w:t>
            </w:r>
          </w:p>
        </w:tc>
        <w:tc>
          <w:tcPr/>
          <w:p>
            <w:pPr>
              <w:pStyle w:val="Compact"/>
              <w:jc w:val="right"/>
            </w:pPr>
            <m:oMath>
              <m:r>
                <m:t>287</m:t>
              </m:r>
              <m:r>
                <m:t>M</m:t>
              </m:r>
              <m:r>
                <m:rPr>
                  <m:sty m:val="p"/>
                </m:rPr>
                <m:t>–</m:t>
              </m:r>
            </m:oMath>
            <w:r>
              <w:rPr>
                <w:b/>
                <w:bCs/>
              </w:rPr>
              <w:t xml:space="preserve">302M</w:t>
            </w:r>
          </w:p>
        </w:tc>
        <w:tc>
          <w:tcPr/>
          <w:p>
            <w:pPr>
              <w:pStyle w:val="Compact"/>
              <w:jc w:val="right"/>
            </w:pPr>
            <w:r>
              <w:t xml:space="preserve">$294M</w:t>
            </w:r>
          </w:p>
        </w:tc>
        <w:tc>
          <w:tcPr/>
          <w:p>
            <w:pPr>
              <w:pStyle w:val="Compact"/>
            </w:pPr>
            <w:r>
              <w:t xml:space="preserve">Tests cost discipline as revenue recovers</w:t>
            </w:r>
          </w:p>
        </w:tc>
      </w:tr>
      <w:tr>
        <w:tc>
          <w:tcPr/>
          <w:p>
            <w:pPr>
              <w:pStyle w:val="Compact"/>
            </w:pPr>
            <w:r>
              <w:t xml:space="preserve">Non-GAAP EPS</w:t>
            </w:r>
          </w:p>
        </w:tc>
        <w:tc>
          <w:tcPr/>
          <w:p>
            <w:pPr>
              <w:pStyle w:val="Compact"/>
              <w:jc w:val="right"/>
            </w:pPr>
            <m:oMath>
              <m:r>
                <m:t>0.65</m:t>
              </m:r>
              <m:r>
                <m:rPr>
                  <m:sty m:val="p"/>
                </m:rPr>
                <m:t>–</m:t>
              </m:r>
            </m:oMath>
            <w:r>
              <w:rPr>
                <w:b/>
                <w:bCs/>
              </w:rPr>
              <w:t xml:space="preserve">0.77</w:t>
            </w:r>
          </w:p>
        </w:tc>
        <w:tc>
          <w:tcPr/>
          <w:p>
            <w:pPr>
              <w:pStyle w:val="Compact"/>
              <w:jc w:val="right"/>
            </w:pPr>
            <w:r>
              <w:t xml:space="preserve">$0.64</w:t>
            </w:r>
          </w:p>
        </w:tc>
        <w:tc>
          <w:tcPr/>
          <w:p>
            <w:pPr>
              <w:pStyle w:val="Compact"/>
            </w:pPr>
            <w:r>
              <w:t xml:space="preserve">The high end would support the operating-leverage thesis</w:t>
            </w:r>
          </w:p>
        </w:tc>
      </w:tr>
      <w:tr>
        <w:tc>
          <w:tcPr/>
          <w:p>
            <w:pPr>
              <w:pStyle w:val="Compact"/>
            </w:pPr>
            <w:r>
              <w:t xml:space="preserve">Capex</w:t>
            </w:r>
          </w:p>
        </w:tc>
        <w:tc>
          <w:tcPr/>
          <w:p>
            <w:pPr>
              <w:pStyle w:val="Compact"/>
              <w:jc w:val="right"/>
            </w:pPr>
            <m:oMath>
              <m:r>
                <m:t>25</m:t>
              </m:r>
              <m:r>
                <m:t>M</m:t>
              </m:r>
              <m:r>
                <m:rPr>
                  <m:sty m:val="p"/>
                </m:rPr>
                <m:t>–</m:t>
              </m:r>
            </m:oMath>
            <w:r>
              <w:rPr>
                <w:b/>
                <w:bCs/>
              </w:rPr>
              <w:t xml:space="preserve">35M</w:t>
            </w:r>
          </w:p>
        </w:tc>
        <w:tc>
          <w:tcPr/>
          <w:p>
            <w:pPr>
              <w:pStyle w:val="Compact"/>
              <w:jc w:val="right"/>
            </w:pPr>
            <w:r>
              <w:t xml:space="preserve">$22M</w:t>
            </w:r>
          </w:p>
        </w:tc>
        <w:tc>
          <w:tcPr/>
          <w:p>
            <w:pPr>
              <w:pStyle w:val="Compact"/>
            </w:pPr>
            <w:r>
              <w:t xml:space="preserve">Reinforces a capital-light manufacturing model</w:t>
            </w:r>
          </w:p>
        </w:tc>
      </w:tr>
    </w:tbl>
    <w:p>
      <w:pPr>
        <w:pStyle w:val="BodyText"/>
      </w:pPr>
      <w:r>
        <w:t xml:space="preserve">Management also said 2Q would include</w:t>
      </w:r>
      <w:r>
        <w:t xml:space="preserve"> </w:t>
      </w:r>
      <m:oMath>
        <m:r>
          <m:t>30</m:t>
        </m:r>
        <m:r>
          <m:t>M</m:t>
        </m:r>
        <m:r>
          <m:rPr>
            <m:sty m:val="p"/>
          </m:rPr>
          <m:t>–</m:t>
        </m:r>
      </m:oMath>
      <w:r>
        <w:rPr>
          <w:b/>
          <w:bCs/>
        </w:rPr>
        <w:t xml:space="preserve">40M of additional non-core revenue exits</w:t>
      </w:r>
      <w:r>
        <w:t xml:space="preserve">. Excluding those exits, the company guided to approximately</w:t>
      </w:r>
      <w:r>
        <w:t xml:space="preserve"> </w:t>
      </w:r>
      <w:r>
        <w:rPr>
          <w:b/>
          <w:bCs/>
        </w:rPr>
        <w:t xml:space="preserve">7% sequential revenue growth at the midpoint</w:t>
      </w:r>
      <w:r>
        <w:t xml:space="preserve">. That distinction is important: reported growth will understate the underlying recovery while ON finishes rationalizing lower-value business.</w:t>
      </w:r>
    </w:p>
    <w:bookmarkEnd w:id="10"/>
    <w:bookmarkStart w:id="14" w:name="X653cbe2711ee32190cda09ffe01f290047c5494"/>
    <w:p>
      <w:pPr>
        <w:pStyle w:val="Heading2"/>
      </w:pPr>
      <w:r>
        <w:t xml:space="preserve">The core debate: can revenue growth broaden beyond AI?</w:t>
      </w:r>
    </w:p>
    <w:bookmarkStart w:id="11" w:name="X85938d2a91172d7a9b67274ee4e012c9e260c23"/>
    <w:p>
      <w:pPr>
        <w:pStyle w:val="Heading3"/>
      </w:pPr>
      <w:r>
        <w:t xml:space="preserve">1. AI data-center power is the most important upside lever</w:t>
      </w:r>
    </w:p>
    <w:p>
      <w:pPr>
        <w:pStyle w:val="FirstParagraph"/>
      </w:pPr>
      <w:r>
        <w:t xml:space="preserve">AI data center was the standout in 1Q: revenue in the category grew more than</w:t>
      </w:r>
      <w:r>
        <w:t xml:space="preserve"> </w:t>
      </w:r>
      <w:r>
        <w:rPr>
          <w:b/>
          <w:bCs/>
        </w:rPr>
        <w:t xml:space="preserve">30% sequentially</w:t>
      </w:r>
      <w:r>
        <w:t xml:space="preserve"> </w:t>
      </w:r>
      <w:r>
        <w:t xml:space="preserve">and approximately doubled year over year. Management expects full-year 2026 AI-data-center revenue to double from roughly</w:t>
      </w:r>
      <w:r>
        <w:t xml:space="preserve"> </w:t>
      </w:r>
      <w:r>
        <w:rPr>
          <w:b/>
          <w:bCs/>
        </w:rPr>
        <w:t xml:space="preserve">$250M in 2025</w:t>
      </w:r>
      <w:r>
        <w:t xml:space="preserve">.</w:t>
      </w:r>
    </w:p>
    <w:p>
      <w:pPr>
        <w:pStyle w:val="BodyText"/>
      </w:pPr>
      <w:r>
        <w:t xml:space="preserve">The strategic appeal is clear. ON believes it can participate across the power tree—from high-voltage infrastructure and energy storage to rack-level power and point-of-load solutions. This is not simply a discrete silicon-carbide story; management has emphasized silicon, SiC, SiC JFETs, mixed-signal power, and emerging Treo-based offerings.</w:t>
      </w:r>
    </w:p>
    <w:p>
      <w:pPr>
        <w:pStyle w:val="BodyText"/>
      </w:pPr>
      <w:r>
        <w:rPr>
          <w:b/>
          <w:bCs/>
        </w:rPr>
        <w:t xml:space="preserve">What to watch:</w:t>
      </w:r>
    </w:p>
    <w:p>
      <w:pPr>
        <w:pStyle w:val="Compact"/>
        <w:numPr>
          <w:ilvl w:val="0"/>
          <w:numId w:val="1002"/>
        </w:numPr>
      </w:pPr>
      <w:r>
        <w:t xml:space="preserve">Whether 2Q “Other” revenue achieves the previously guided</w:t>
      </w:r>
      <w:r>
        <w:t xml:space="preserve"> </w:t>
      </w:r>
      <w:r>
        <w:rPr>
          <w:b/>
          <w:bCs/>
        </w:rPr>
        <w:t xml:space="preserve">mid-teens sequential growth</w:t>
      </w:r>
      <w:r>
        <w:t xml:space="preserve">, led by AI data center.</w:t>
      </w:r>
    </w:p>
    <w:p>
      <w:pPr>
        <w:pStyle w:val="Compact"/>
        <w:numPr>
          <w:ilvl w:val="0"/>
          <w:numId w:val="1002"/>
        </w:numPr>
      </w:pPr>
      <w:r>
        <w:t xml:space="preserve">Evidence that AI wins are expanding across hyperscalers, XPU vendors, power-supply providers, and power-conversion layers.</w:t>
      </w:r>
    </w:p>
    <w:p>
      <w:pPr>
        <w:pStyle w:val="Compact"/>
        <w:numPr>
          <w:ilvl w:val="0"/>
          <w:numId w:val="1002"/>
        </w:numPr>
      </w:pPr>
      <w:r>
        <w:t xml:space="preserve">Whether management raises, reiterates, or qualifies the target to double AI-data-center revenue in 2026.</w:t>
      </w:r>
    </w:p>
    <w:p>
      <w:pPr>
        <w:pStyle w:val="Compact"/>
        <w:numPr>
          <w:ilvl w:val="0"/>
          <w:numId w:val="1002"/>
        </w:numPr>
      </w:pPr>
      <w:r>
        <w:t xml:space="preserve">Signs that higher-voltage rack architectures and data-center infrastructure are translating into revenue rather than only design activity.</w:t>
      </w:r>
    </w:p>
    <w:p>
      <w:pPr>
        <w:pStyle w:val="FirstParagraph"/>
      </w:pPr>
      <w:r>
        <w:t xml:space="preserve">The risk is that AI remains too small relative to ON’s total revenue base to offset a softer automotive or industrial recovery. The upside case is that accelerating data-center power demand materially improves both revenue mix and gross margin.</w:t>
      </w:r>
    </w:p>
    <w:bookmarkEnd w:id="11"/>
    <w:bookmarkStart w:id="12" w:name="X96afa935224d565f105fcacb2a74d5f1bd0ba69"/>
    <w:p>
      <w:pPr>
        <w:pStyle w:val="Heading3"/>
      </w:pPr>
      <w:r>
        <w:t xml:space="preserve">2. Automotive is stable, but a full replenishment cycle has not arrived</w:t>
      </w:r>
    </w:p>
    <w:p>
      <w:pPr>
        <w:pStyle w:val="FirstParagraph"/>
      </w:pPr>
      <w:r>
        <w:t xml:space="preserve">Automotive was ON’s largest end market in 1Q, at</w:t>
      </w:r>
      <w:r>
        <w:t xml:space="preserve"> </w:t>
      </w:r>
      <w:r>
        <w:rPr>
          <w:b/>
          <w:bCs/>
        </w:rPr>
        <w:t xml:space="preserve">$797M</w:t>
      </w:r>
      <w:r>
        <w:t xml:space="preserve">, roughly flat sequentially and up nearly 5% year over year—the company’s first year-over-year automotive growth after seven quarters of declines. For 2Q, management guided automotive revenue to be roughly flat sequentially.</w:t>
      </w:r>
    </w:p>
    <w:p>
      <w:pPr>
        <w:pStyle w:val="BodyText"/>
      </w:pPr>
      <w:r>
        <w:t xml:space="preserve">That is a reasonable near-term expectation, but it means a large share of the second-half growth thesis depends on a more visible automotive recovery, particularly in China. ON has pointed to favorable content trends in Chinese EVs, 900-volt architectures, traction-inverter programs, and the adoption of zonal electrical architectures.</w:t>
      </w:r>
    </w:p>
    <w:p>
      <w:pPr>
        <w:pStyle w:val="BodyText"/>
      </w:pPr>
      <w:r>
        <w:t xml:space="preserve">Importantly, management has argued it is gaining more from</w:t>
      </w:r>
      <w:r>
        <w:t xml:space="preserve"> </w:t>
      </w:r>
      <w:r>
        <w:rPr>
          <w:b/>
          <w:bCs/>
        </w:rPr>
        <w:t xml:space="preserve">content and share</w:t>
      </w:r>
      <w:r>
        <w:t xml:space="preserve"> </w:t>
      </w:r>
      <w:r>
        <w:t xml:space="preserve">than from global vehicle-unit growth. That makes the automotive story less dependent on global SAAR—but it also exposes ON to program timing and the durability of EV demand.</w:t>
      </w:r>
    </w:p>
    <w:p>
      <w:pPr>
        <w:pStyle w:val="BodyText"/>
      </w:pPr>
      <w:r>
        <w:rPr>
          <w:b/>
          <w:bCs/>
        </w:rPr>
        <w:t xml:space="preserve">What to watch:</w:t>
      </w:r>
    </w:p>
    <w:p>
      <w:pPr>
        <w:pStyle w:val="Compact"/>
        <w:numPr>
          <w:ilvl w:val="0"/>
          <w:numId w:val="1003"/>
        </w:numPr>
      </w:pPr>
      <w:r>
        <w:t xml:space="preserve">Commentary on Chinese EV production, export activity, and silicon-carbide content.</w:t>
      </w:r>
    </w:p>
    <w:p>
      <w:pPr>
        <w:pStyle w:val="Compact"/>
        <w:numPr>
          <w:ilvl w:val="0"/>
          <w:numId w:val="1003"/>
        </w:numPr>
      </w:pPr>
      <w:r>
        <w:t xml:space="preserve">Whether North American direct semiconductor sourcing is progressing into tangible orders.</w:t>
      </w:r>
    </w:p>
    <w:p>
      <w:pPr>
        <w:pStyle w:val="Compact"/>
        <w:numPr>
          <w:ilvl w:val="0"/>
          <w:numId w:val="1003"/>
        </w:numPr>
      </w:pPr>
      <w:r>
        <w:t xml:space="preserve">Any change in the view that ON is shipping at “natural demand” rather than into an auto replenishment cycle.</w:t>
      </w:r>
    </w:p>
    <w:p>
      <w:pPr>
        <w:pStyle w:val="Compact"/>
        <w:numPr>
          <w:ilvl w:val="0"/>
          <w:numId w:val="1003"/>
        </w:numPr>
      </w:pPr>
      <w:r>
        <w:t xml:space="preserve">Automotive lead times and allocation commentary, particularly for constrained technologies.</w:t>
      </w:r>
    </w:p>
    <w:bookmarkEnd w:id="12"/>
    <w:bookmarkStart w:id="13" w:name="X5de095fe096a63c392c99769f1b8d3f4fedbfb6"/>
    <w:p>
      <w:pPr>
        <w:pStyle w:val="Heading3"/>
      </w:pPr>
      <w:r>
        <w:t xml:space="preserve">3. Industrial recovery needs to stay broad-based</w:t>
      </w:r>
    </w:p>
    <w:p>
      <w:pPr>
        <w:pStyle w:val="FirstParagraph"/>
      </w:pPr>
      <w:r>
        <w:t xml:space="preserve">ON expected industrial revenue to rise</w:t>
      </w:r>
      <w:r>
        <w:t xml:space="preserve"> </w:t>
      </w:r>
      <w:r>
        <w:rPr>
          <w:b/>
          <w:bCs/>
        </w:rPr>
        <w:t xml:space="preserve">mid-single digits sequentially</w:t>
      </w:r>
      <w:r>
        <w:t xml:space="preserve"> </w:t>
      </w:r>
      <w:r>
        <w:t xml:space="preserve">in 2Q after industrial fell 6% sequentially in 1Q but outperformed management’s expectations. The company has seen improving traditional-industrial demand and expects its energy-storage and microgrid business to grow more than 40% year over year in 2026.</w:t>
      </w:r>
    </w:p>
    <w:p>
      <w:pPr>
        <w:pStyle w:val="BodyText"/>
      </w:pPr>
      <w:r>
        <w:t xml:space="preserve">This end market is important because it can validate that ON is seeing a real analog/power recovery rather than a narrow AI-led improvement.</w:t>
      </w:r>
    </w:p>
    <w:p>
      <w:pPr>
        <w:pStyle w:val="BodyText"/>
      </w:pPr>
      <w:r>
        <w:rPr>
          <w:b/>
          <w:bCs/>
        </w:rPr>
        <w:t xml:space="preserve">What to watch:</w:t>
      </w:r>
    </w:p>
    <w:p>
      <w:pPr>
        <w:pStyle w:val="Compact"/>
        <w:numPr>
          <w:ilvl w:val="0"/>
          <w:numId w:val="1004"/>
        </w:numPr>
      </w:pPr>
      <w:r>
        <w:t xml:space="preserve">Whether traditional industrial remains positive beyond energy storage and renewables.</w:t>
      </w:r>
    </w:p>
    <w:p>
      <w:pPr>
        <w:pStyle w:val="Compact"/>
        <w:numPr>
          <w:ilvl w:val="0"/>
          <w:numId w:val="1004"/>
        </w:numPr>
      </w:pPr>
      <w:r>
        <w:t xml:space="preserve">Demand in North America and China, where management expects stronger ESS and renewable-energy activity.</w:t>
      </w:r>
    </w:p>
    <w:p>
      <w:pPr>
        <w:pStyle w:val="Compact"/>
        <w:numPr>
          <w:ilvl w:val="0"/>
          <w:numId w:val="1004"/>
        </w:numPr>
      </w:pPr>
      <w:r>
        <w:t xml:space="preserve">Whether channel inventory remains controlled rather than becoming the source of apparent demand growth.</w:t>
      </w:r>
    </w:p>
    <w:bookmarkEnd w:id="13"/>
    <w:bookmarkEnd w:id="14"/>
    <w:bookmarkStart w:id="15" w:name="X7dee114616d349fe7042b57966bd84b1ffce48d"/>
    <w:p>
      <w:pPr>
        <w:pStyle w:val="Heading2"/>
      </w:pPr>
      <w:r>
        <w:t xml:space="preserve">Margins may matter more than the revenue beat</w:t>
      </w:r>
    </w:p>
    <w:p>
      <w:pPr>
        <w:pStyle w:val="FirstParagraph"/>
      </w:pPr>
      <w:r>
        <w:t xml:space="preserve">ON’s margin recovery is central to the bull case. First-quarter non-GAAP gross margin reached</w:t>
      </w:r>
      <w:r>
        <w:t xml:space="preserve"> </w:t>
      </w:r>
      <w:r>
        <w:rPr>
          <w:b/>
          <w:bCs/>
        </w:rPr>
        <w:t xml:space="preserve">38.5%</w:t>
      </w:r>
      <w:r>
        <w:t xml:space="preserve">, its third consecutive sequential improvement, even in a seasonally softer quarter. Management expects gross margin to expand sequentially through 2026.</w:t>
      </w:r>
    </w:p>
    <w:p>
      <w:pPr>
        <w:pStyle w:val="BodyText"/>
      </w:pPr>
      <w:r>
        <w:t xml:space="preserve">The long-term framework is meaningful:</w:t>
      </w:r>
    </w:p>
    <w:p>
      <w:pPr>
        <w:pStyle w:val="Compact"/>
        <w:numPr>
          <w:ilvl w:val="0"/>
          <w:numId w:val="1005"/>
        </w:numPr>
      </w:pPr>
      <w:r>
        <w:t xml:space="preserve">Each point of utilization may contribute roughly</w:t>
      </w:r>
      <w:r>
        <w:t xml:space="preserve"> </w:t>
      </w:r>
      <w:r>
        <w:rPr>
          <w:b/>
          <w:bCs/>
        </w:rPr>
        <w:t xml:space="preserve">25–30 basis points</w:t>
      </w:r>
      <w:r>
        <w:t xml:space="preserve"> </w:t>
      </w:r>
      <w:r>
        <w:t xml:space="preserve">of gross-margin improvement.</w:t>
      </w:r>
    </w:p>
    <w:p>
      <w:pPr>
        <w:pStyle w:val="Compact"/>
        <w:numPr>
          <w:ilvl w:val="0"/>
          <w:numId w:val="1005"/>
        </w:numPr>
      </w:pPr>
      <w:r>
        <w:t xml:space="preserve">Management sees more than</w:t>
      </w:r>
      <w:r>
        <w:t xml:space="preserve"> </w:t>
      </w:r>
      <w:r>
        <w:rPr>
          <w:b/>
          <w:bCs/>
        </w:rPr>
        <w:t xml:space="preserve">200 bps</w:t>
      </w:r>
      <w:r>
        <w:t xml:space="preserve"> </w:t>
      </w:r>
      <w:r>
        <w:t xml:space="preserve">of longer-term benefit from manufacturing “Fab Right” actions.</w:t>
      </w:r>
    </w:p>
    <w:p>
      <w:pPr>
        <w:pStyle w:val="Compact"/>
        <w:numPr>
          <w:ilvl w:val="0"/>
          <w:numId w:val="1005"/>
        </w:numPr>
      </w:pPr>
      <w:r>
        <w:t xml:space="preserve">It has cited another</w:t>
      </w:r>
      <w:r>
        <w:t xml:space="preserve"> </w:t>
      </w:r>
      <w:r>
        <w:rPr>
          <w:b/>
          <w:bCs/>
        </w:rPr>
        <w:t xml:space="preserve">200+ bps</w:t>
      </w:r>
      <w:r>
        <w:t xml:space="preserve"> </w:t>
      </w:r>
      <w:r>
        <w:t xml:space="preserve">opportunity from mix improvement, including Treo and AI-related products.</w:t>
      </w:r>
    </w:p>
    <w:p>
      <w:pPr>
        <w:pStyle w:val="Compact"/>
        <w:numPr>
          <w:ilvl w:val="0"/>
          <w:numId w:val="1005"/>
        </w:numPr>
      </w:pPr>
      <w:r>
        <w:t xml:space="preserve">The company believes it has sufficient capacity to support materially higher revenue without a major increase in capital intensity.</w:t>
      </w:r>
    </w:p>
    <w:p>
      <w:pPr>
        <w:pStyle w:val="FirstParagraph"/>
      </w:pPr>
      <w:r>
        <w:t xml:space="preserve">For 2Q, a result near the high end of the</w:t>
      </w:r>
      <w:r>
        <w:t xml:space="preserve"> </w:t>
      </w:r>
      <w:r>
        <w:rPr>
          <w:b/>
          <w:bCs/>
        </w:rPr>
        <w:t xml:space="preserve">38%–40%</w:t>
      </w:r>
      <w:r>
        <w:t xml:space="preserve"> </w:t>
      </w:r>
      <w:r>
        <w:t xml:space="preserve">gross-margin range would be constructive—but the bigger issue is the implied slope for the second half. Investors should listen for whether pricing recovery, better utilization, product mix, and cost reductions can produce the “larger step functions” in margin that management discussed in May.</w:t>
      </w:r>
    </w:p>
    <w:bookmarkEnd w:id="15"/>
    <w:bookmarkStart w:id="16" w:name="Xfc9e96fb320ce471bfd8a6097e601028ec540da"/>
    <w:p>
      <w:pPr>
        <w:pStyle w:val="Heading2"/>
      </w:pPr>
      <w:r>
        <w:t xml:space="preserve">Inventory and utilization remain key proof points</w:t>
      </w:r>
    </w:p>
    <w:p>
      <w:pPr>
        <w:pStyle w:val="FirstParagraph"/>
      </w:pPr>
      <w:r>
        <w:t xml:space="preserve">ON ended 1Q with:</w:t>
      </w:r>
    </w:p>
    <w:p>
      <w:pPr>
        <w:pStyle w:val="Compact"/>
        <w:numPr>
          <w:ilvl w:val="0"/>
          <w:numId w:val="1006"/>
        </w:numPr>
      </w:pPr>
      <w:r>
        <w:rPr>
          <w:b/>
          <w:bCs/>
        </w:rPr>
        <w:t xml:space="preserve">201 days</w:t>
      </w:r>
      <w:r>
        <w:t xml:space="preserve"> </w:t>
      </w:r>
      <w:r>
        <w:t xml:space="preserve">of total inventory;</w:t>
      </w:r>
    </w:p>
    <w:p>
      <w:pPr>
        <w:pStyle w:val="Compact"/>
        <w:numPr>
          <w:ilvl w:val="0"/>
          <w:numId w:val="1006"/>
        </w:numPr>
      </w:pPr>
      <w:r>
        <w:rPr>
          <w:b/>
          <w:bCs/>
        </w:rPr>
        <w:t xml:space="preserve">75 days</w:t>
      </w:r>
      <w:r>
        <w:t xml:space="preserve"> </w:t>
      </w:r>
      <w:r>
        <w:t xml:space="preserve">of strategic inventory, down modestly from 76 days in 4Q;</w:t>
      </w:r>
    </w:p>
    <w:p>
      <w:pPr>
        <w:pStyle w:val="Compact"/>
        <w:numPr>
          <w:ilvl w:val="0"/>
          <w:numId w:val="1006"/>
        </w:numPr>
      </w:pPr>
      <w:r>
        <w:rPr>
          <w:b/>
          <w:bCs/>
        </w:rPr>
        <w:t xml:space="preserve">126 days</w:t>
      </w:r>
      <w:r>
        <w:t xml:space="preserve"> </w:t>
      </w:r>
      <w:r>
        <w:t xml:space="preserve">of base inventory excluding strategic inventory;</w:t>
      </w:r>
    </w:p>
    <w:p>
      <w:pPr>
        <w:pStyle w:val="Compact"/>
        <w:numPr>
          <w:ilvl w:val="0"/>
          <w:numId w:val="1006"/>
        </w:numPr>
      </w:pPr>
      <w:r>
        <w:rPr>
          <w:b/>
          <w:bCs/>
        </w:rPr>
        <w:t xml:space="preserve">10.8 weeks</w:t>
      </w:r>
      <w:r>
        <w:t xml:space="preserve"> </w:t>
      </w:r>
      <w:r>
        <w:t xml:space="preserve">of distribution inventory, flat sequentially; and</w:t>
      </w:r>
    </w:p>
    <w:p>
      <w:pPr>
        <w:pStyle w:val="Compact"/>
        <w:numPr>
          <w:ilvl w:val="0"/>
          <w:numId w:val="1006"/>
        </w:numPr>
      </w:pPr>
      <w:r>
        <w:rPr>
          <w:b/>
          <w:bCs/>
        </w:rPr>
        <w:t xml:space="preserve">77%</w:t>
      </w:r>
      <w:r>
        <w:t xml:space="preserve"> </w:t>
      </w:r>
      <w:r>
        <w:t xml:space="preserve">manufacturing utilization, with 2Q expected to be flat to modestly higher.</w:t>
      </w:r>
    </w:p>
    <w:p>
      <w:pPr>
        <w:pStyle w:val="FirstParagraph"/>
      </w:pPr>
      <w:r>
        <w:t xml:space="preserve">Those metrics are manageable in context, but they will remain under scrutiny. The favorable interpretation is that ON is carrying inventory to support customer commitments and a recovery in constrained products. The skeptical interpretation is that inventory is still elevated before automotive demand has fully recovered.</w:t>
      </w:r>
    </w:p>
    <w:p>
      <w:pPr>
        <w:pStyle w:val="BodyText"/>
      </w:pPr>
      <w:r>
        <w:t xml:space="preserve">A healthy report would show stable-to-improving utilization, continued strategic-inventory reduction, and distribution inventory remaining near the company’s stated 9–11 week target.</w:t>
      </w:r>
    </w:p>
    <w:bookmarkEnd w:id="16"/>
    <w:bookmarkStart w:id="17" w:name="Xd669a22bc51430757be0652c19796f7a3bc8353"/>
    <w:p>
      <w:pPr>
        <w:pStyle w:val="Heading2"/>
      </w:pPr>
      <w:r>
        <w:t xml:space="preserve">Synaptics: the unavoidable second storyline</w:t>
      </w:r>
    </w:p>
    <w:p>
      <w:pPr>
        <w:pStyle w:val="FirstParagraph"/>
      </w:pPr>
      <w:r>
        <w:t xml:space="preserve">ON’s proposed all-stock acquisition of Synaptics is strategically ambitious. The transaction has an implied enterprise value of approximately</w:t>
      </w:r>
      <w:r>
        <w:t xml:space="preserve"> </w:t>
      </w:r>
      <w:r>
        <w:rPr>
          <w:b/>
          <w:bCs/>
        </w:rPr>
        <w:t xml:space="preserve">$7B</w:t>
      </w:r>
      <w:r>
        <w:t xml:space="preserve">, would give Synaptics shareholders approximately</w:t>
      </w:r>
      <w:r>
        <w:t xml:space="preserve"> </w:t>
      </w:r>
      <w:r>
        <w:rPr>
          <w:b/>
          <w:bCs/>
        </w:rPr>
        <w:t xml:space="preserve">12%</w:t>
      </w:r>
      <w:r>
        <w:t xml:space="preserve"> </w:t>
      </w:r>
      <w:r>
        <w:t xml:space="preserve">of the combined company, and is expected to close in</w:t>
      </w:r>
      <w:r>
        <w:t xml:space="preserve"> </w:t>
      </w:r>
      <w:r>
        <w:rPr>
          <w:b/>
          <w:bCs/>
        </w:rPr>
        <w:t xml:space="preserve">mid-2027</w:t>
      </w:r>
      <w:r>
        <w:t xml:space="preserve">, subject to shareholder and regulatory approvals, including China.</w:t>
      </w:r>
    </w:p>
    <w:p>
      <w:pPr>
        <w:pStyle w:val="BodyText"/>
      </w:pPr>
      <w:r>
        <w:t xml:space="preserve">Management’s strategic rationale is to add connected compute, connectivity, edge AI and human-machine-interface capabilities to ON’s existing power, sensing and control portfolios. The company sees the combined portfolio as a route into “intelligent systems” and physical-AI applications such as robotics, humanoids, industrial automation, automotive and edge devices.</w:t>
      </w:r>
    </w:p>
    <w:p>
      <w:pPr>
        <w:pStyle w:val="BodyText"/>
      </w:pPr>
      <w:r>
        <w:t xml:space="preserve">Financially, ON expects:</w:t>
      </w:r>
    </w:p>
    <w:p>
      <w:pPr>
        <w:pStyle w:val="Compact"/>
        <w:numPr>
          <w:ilvl w:val="0"/>
          <w:numId w:val="1007"/>
        </w:numPr>
      </w:pPr>
      <w:r>
        <w:rPr>
          <w:b/>
          <w:bCs/>
        </w:rPr>
        <w:t xml:space="preserve">$200M of annual run-rate synergies</w:t>
      </w:r>
      <w:r>
        <w:t xml:space="preserve">, primarily in operating expenses;</w:t>
      </w:r>
    </w:p>
    <w:p>
      <w:pPr>
        <w:pStyle w:val="Compact"/>
        <w:numPr>
          <w:ilvl w:val="0"/>
          <w:numId w:val="1007"/>
        </w:numPr>
      </w:pPr>
      <w:r>
        <w:t xml:space="preserve">non-GAAP EPS accretion</w:t>
      </w:r>
      <w:r>
        <w:t xml:space="preserve"> </w:t>
      </w:r>
      <w:r>
        <w:rPr>
          <w:b/>
          <w:bCs/>
        </w:rPr>
        <w:t xml:space="preserve">within 18 months of closing</w:t>
      </w:r>
      <w:r>
        <w:t xml:space="preserve">; and</w:t>
      </w:r>
    </w:p>
    <w:p>
      <w:pPr>
        <w:pStyle w:val="Compact"/>
        <w:numPr>
          <w:ilvl w:val="0"/>
          <w:numId w:val="1007"/>
        </w:numPr>
      </w:pPr>
      <w:r>
        <w:t xml:space="preserve">continued return of 100% of free cash flow to shareholders through repurchases.</w:t>
      </w:r>
    </w:p>
    <w:p>
      <w:pPr>
        <w:pStyle w:val="FirstParagraph"/>
      </w:pPr>
      <w:r>
        <w:t xml:space="preserve">The market’s principal concern is likely to be execution rather than strategic logic. Investors will want more detail on integration planning, revenue-synergy assumptions, capital-allocation priorities through closing, regulatory timing, and the degree of incremental dilution from the all-stock structure.</w:t>
      </w:r>
    </w:p>
    <w:p>
      <w:pPr>
        <w:pStyle w:val="BodyText"/>
      </w:pPr>
      <w:r>
        <w:t xml:space="preserve">Because both companies reiterated their then-current quarterly outlook when the deal was announced, the 2Q report should be viewed as the first practical test of whether ON can keep core execution on track while pursuing a transformational acquisition.</w:t>
      </w:r>
    </w:p>
    <w:bookmarkEnd w:id="17"/>
    <w:bookmarkStart w:id="18" w:name="stock-setup"/>
    <w:p>
      <w:pPr>
        <w:pStyle w:val="Heading2"/>
      </w:pPr>
      <w:r>
        <w:t xml:space="preserve">Stock setup</w:t>
      </w:r>
    </w:p>
    <w:p>
      <w:pPr>
        <w:pStyle w:val="FirstParagraph"/>
      </w:pPr>
      <w:r>
        <w:t xml:space="preserve">ON closed July 31 at</w:t>
      </w:r>
      <w:r>
        <w:t xml:space="preserve"> </w:t>
      </w:r>
      <w:r>
        <w:rPr>
          <w:b/>
          <w:bCs/>
        </w:rPr>
        <w:t xml:space="preserve">$81.63</w:t>
      </w:r>
      <w:r>
        <w:t xml:space="preserve">. The shares are up approximately</w:t>
      </w:r>
      <w:r>
        <w:t xml:space="preserve"> </w:t>
      </w:r>
      <w:r>
        <w:rPr>
          <w:b/>
          <w:bCs/>
        </w:rPr>
        <w:t xml:space="preserve">51% year to date</w:t>
      </w:r>
      <w:r>
        <w:t xml:space="preserve">, but they have also fallen about</w:t>
      </w:r>
      <w:r>
        <w:t xml:space="preserve"> </w:t>
      </w:r>
      <w:r>
        <w:rPr>
          <w:b/>
          <w:bCs/>
        </w:rPr>
        <w:t xml:space="preserve">39% from the June 3 closing high of $133.93</w:t>
      </w:r>
      <w:r>
        <w:t xml:space="preserve"> </w:t>
      </w:r>
      <w:r>
        <w:t xml:space="preserve">and roughly</w:t>
      </w:r>
      <w:r>
        <w:t xml:space="preserve"> </w:t>
      </w:r>
      <w:r>
        <w:rPr>
          <w:b/>
          <w:bCs/>
        </w:rPr>
        <w:t xml:space="preserve">29% since June 24</w:t>
      </w:r>
      <w:r>
        <w:t xml:space="preserve">, immediately before the Synaptics announcement. The SOXX semiconductor ETF, by comparison, was up about</w:t>
      </w:r>
      <w:r>
        <w:t xml:space="preserve"> </w:t>
      </w:r>
      <w:r>
        <w:rPr>
          <w:b/>
          <w:bCs/>
        </w:rPr>
        <w:t xml:space="preserve">68% year to date</w:t>
      </w:r>
      <w:r>
        <w:t xml:space="preserve"> </w:t>
      </w:r>
      <w:r>
        <w:t xml:space="preserve">through July 31.</w:t>
      </w:r>
    </w:p>
    <w:p>
      <w:pPr>
        <w:pStyle w:val="BodyText"/>
      </w:pPr>
      <w:r>
        <w:t xml:space="preserve">That setup suggests expectations for the core business have improved, but the stock is still discounting meaningful uncertainty around the acquisition and the pace of recovery. A clean beat with credible second-half guidance could refocus attention on ON’s margin and AI-power opportunity. Conversely, any hesitation on automotive, inventory, or gross-margin cadence could reinforce the view that the recovery is not yet broad enough to offset the new M&amp;A risk.</w:t>
      </w:r>
    </w:p>
    <w:bookmarkEnd w:id="18"/>
    <w:bookmarkStart w:id="19" w:name="what-would-constitute-a-strong-report"/>
    <w:p>
      <w:pPr>
        <w:pStyle w:val="Heading2"/>
      </w:pPr>
      <w:r>
        <w:t xml:space="preserve">What would constitute a strong report?</w:t>
      </w:r>
    </w:p>
    <w:p>
      <w:pPr>
        <w:pStyle w:val="FirstParagraph"/>
      </w:pPr>
      <w:r>
        <w:rPr>
          <w:b/>
          <w:bCs/>
        </w:rPr>
        <w:t xml:space="preserve">Bullish outcome</w:t>
      </w:r>
    </w:p>
    <w:p>
      <w:pPr>
        <w:pStyle w:val="Compact"/>
        <w:numPr>
          <w:ilvl w:val="0"/>
          <w:numId w:val="1008"/>
        </w:numPr>
      </w:pPr>
      <w:r>
        <w:t xml:space="preserve">Revenue and EPS at or above the upper half of guidance.</w:t>
      </w:r>
    </w:p>
    <w:p>
      <w:pPr>
        <w:pStyle w:val="Compact"/>
        <w:numPr>
          <w:ilvl w:val="0"/>
          <w:numId w:val="1008"/>
        </w:numPr>
      </w:pPr>
      <w:r>
        <w:t xml:space="preserve">Gross margin near the high end of the 38%–40% range.</w:t>
      </w:r>
    </w:p>
    <w:p>
      <w:pPr>
        <w:pStyle w:val="Compact"/>
        <w:numPr>
          <w:ilvl w:val="0"/>
          <w:numId w:val="1008"/>
        </w:numPr>
      </w:pPr>
      <w:r>
        <w:t xml:space="preserve">AI-data-center growth remains very strong, with the full-year doubling target intact or increased.</w:t>
      </w:r>
    </w:p>
    <w:p>
      <w:pPr>
        <w:pStyle w:val="Compact"/>
        <w:numPr>
          <w:ilvl w:val="0"/>
          <w:numId w:val="1008"/>
        </w:numPr>
      </w:pPr>
      <w:r>
        <w:t xml:space="preserve">Industrial growth is broad-based and automotive demand improves beyond “flat.”</w:t>
      </w:r>
    </w:p>
    <w:p>
      <w:pPr>
        <w:pStyle w:val="Compact"/>
        <w:numPr>
          <w:ilvl w:val="0"/>
          <w:numId w:val="1008"/>
        </w:numPr>
      </w:pPr>
      <w:r>
        <w:t xml:space="preserve">Clear confirmation that second-half revenue outgrows the first half, with accelerating margins.</w:t>
      </w:r>
    </w:p>
    <w:p>
      <w:pPr>
        <w:pStyle w:val="Compact"/>
        <w:numPr>
          <w:ilvl w:val="0"/>
          <w:numId w:val="1008"/>
        </w:numPr>
      </w:pPr>
      <w:r>
        <w:t xml:space="preserve">Stable channel inventory and improving utilization.</w:t>
      </w:r>
    </w:p>
    <w:p>
      <w:pPr>
        <w:pStyle w:val="Compact"/>
        <w:numPr>
          <w:ilvl w:val="0"/>
          <w:numId w:val="1008"/>
        </w:numPr>
      </w:pPr>
      <w:r>
        <w:t xml:space="preserve">More concrete reassurance on Synaptics synergy timing, regulatory process, and capital allocation.</w:t>
      </w:r>
    </w:p>
    <w:p>
      <w:pPr>
        <w:pStyle w:val="FirstParagraph"/>
      </w:pPr>
      <w:r>
        <w:rPr>
          <w:b/>
          <w:bCs/>
        </w:rPr>
        <w:t xml:space="preserve">Neutral outcome</w:t>
      </w:r>
    </w:p>
    <w:p>
      <w:pPr>
        <w:pStyle w:val="Compact"/>
        <w:numPr>
          <w:ilvl w:val="0"/>
          <w:numId w:val="1009"/>
        </w:numPr>
      </w:pPr>
      <w:r>
        <w:t xml:space="preserve">A modest guide beat, but 3Q outlook broadly seasonal.</w:t>
      </w:r>
    </w:p>
    <w:p>
      <w:pPr>
        <w:pStyle w:val="Compact"/>
        <w:numPr>
          <w:ilvl w:val="0"/>
          <w:numId w:val="1009"/>
        </w:numPr>
      </w:pPr>
      <w:r>
        <w:t xml:space="preserve">Automotive remains flat and industrial improves modestly.</w:t>
      </w:r>
    </w:p>
    <w:p>
      <w:pPr>
        <w:pStyle w:val="Compact"/>
        <w:numPr>
          <w:ilvl w:val="0"/>
          <w:numId w:val="1009"/>
        </w:numPr>
      </w:pPr>
      <w:r>
        <w:t xml:space="preserve">Margin expands but only incrementally.</w:t>
      </w:r>
    </w:p>
    <w:p>
      <w:pPr>
        <w:pStyle w:val="Compact"/>
        <w:numPr>
          <w:ilvl w:val="0"/>
          <w:numId w:val="1009"/>
        </w:numPr>
      </w:pPr>
      <w:r>
        <w:t xml:space="preserve">Synaptics commentary stays high level.</w:t>
      </w:r>
    </w:p>
    <w:p>
      <w:pPr>
        <w:pStyle w:val="FirstParagraph"/>
      </w:pPr>
      <w:r>
        <w:rPr>
          <w:b/>
          <w:bCs/>
        </w:rPr>
        <w:t xml:space="preserve">Bearish outcome</w:t>
      </w:r>
    </w:p>
    <w:p>
      <w:pPr>
        <w:pStyle w:val="Compact"/>
        <w:numPr>
          <w:ilvl w:val="0"/>
          <w:numId w:val="1010"/>
        </w:numPr>
      </w:pPr>
      <w:r>
        <w:t xml:space="preserve">Revenue lands near the low end of guidance or management attributes demand to short-lead-time orders rather than durable backlog.</w:t>
      </w:r>
    </w:p>
    <w:p>
      <w:pPr>
        <w:pStyle w:val="Compact"/>
        <w:numPr>
          <w:ilvl w:val="0"/>
          <w:numId w:val="1010"/>
        </w:numPr>
      </w:pPr>
      <w:r>
        <w:t xml:space="preserve">Automotive weakens or China EV momentum slows.</w:t>
      </w:r>
    </w:p>
    <w:p>
      <w:pPr>
        <w:pStyle w:val="Compact"/>
        <w:numPr>
          <w:ilvl w:val="0"/>
          <w:numId w:val="1010"/>
        </w:numPr>
      </w:pPr>
      <w:r>
        <w:t xml:space="preserve">AI growth moderates materially.</w:t>
      </w:r>
    </w:p>
    <w:p>
      <w:pPr>
        <w:pStyle w:val="Compact"/>
        <w:numPr>
          <w:ilvl w:val="0"/>
          <w:numId w:val="1010"/>
        </w:numPr>
      </w:pPr>
      <w:r>
        <w:t xml:space="preserve">Gross margin misses or fails to show a convincing second-half step-up.</w:t>
      </w:r>
    </w:p>
    <w:p>
      <w:pPr>
        <w:pStyle w:val="Compact"/>
        <w:numPr>
          <w:ilvl w:val="0"/>
          <w:numId w:val="1010"/>
        </w:numPr>
      </w:pPr>
      <w:r>
        <w:t xml:space="preserve">Inventories rise again while utilization stalls.</w:t>
      </w:r>
    </w:p>
    <w:p>
      <w:pPr>
        <w:pStyle w:val="Compact"/>
        <w:numPr>
          <w:ilvl w:val="0"/>
          <w:numId w:val="1010"/>
        </w:numPr>
      </w:pPr>
      <w:r>
        <w:t xml:space="preserve">Management signals greater integration, regulatory, dilution, or capital-return uncertainty around Synaptics.</w:t>
      </w:r>
    </w:p>
    <w:bookmarkEnd w:id="19"/>
    <w:bookmarkStart w:id="20" w:name="bottom-line"/>
    <w:p>
      <w:pPr>
        <w:pStyle w:val="Heading2"/>
      </w:pPr>
      <w:r>
        <w:t xml:space="preserve">Bottom line</w:t>
      </w:r>
    </w:p>
    <w:p>
      <w:pPr>
        <w:pStyle w:val="FirstParagraph"/>
      </w:pPr>
      <w:r>
        <w:t xml:space="preserve">The core ON thesis is improving: AI power is scaling quickly, industrial is recovering, automotive content gains are real, and the company’s leaner cost structure should create operating leverage as volumes return. However, the stock now needs more than a routine 2Q beat. Investors need confirmation that the recovery broadens in the second half and that the Synaptics deal enhances—rather than obscures—the company’s path toward higher growth, better mix, and structurally stronger margins.</w:t>
      </w:r>
    </w:p>
    <w:p>
      <w:pPr>
        <w:pStyle w:val="BodyText"/>
      </w:pPr>
      <w:r>
        <w:rPr>
          <w:b/>
          <w:bCs/>
        </w:rPr>
        <w:t xml:space="preserve">Primary sources:</w:t>
      </w:r>
      <w:r>
        <w:t xml:space="preserve"> </w:t>
      </w:r>
      <w:r>
        <w:t xml:space="preserve">onsemi 1Q26 earnings release and conference call on May 4, 2026; onsemi 1Q26 Form 10-Q; onsemi/Synaptics transaction call on June 25, 2026; closing-price data through July 31, 2026.</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2026-08-03T00:15:24Z</dcterms:created>
  <dcterms:modified xsi:type="dcterms:W3CDTF">2026-08-03T00:15:24Z</dcterms:modified>
</cp:coreProperties>
</file>

<file path=docProps/custom.xml><?xml version="1.0" encoding="utf-8"?>
<Properties xmlns="http://schemas.openxmlformats.org/officeDocument/2006/custom-properties" xmlns:vt="http://schemas.openxmlformats.org/officeDocument/2006/docPropsVTypes"/>
</file>