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ON Semiconductor (ON)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ON Semiconductor Corporation (NASDAQ: ON)</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August 3, 2026 — After U.S. Market Close (5:00 PM ET)</w:t>
            </w:r>
          </w:p>
        </w:tc>
      </w:tr>
      <w:tr>
        <w:tc>
          <w:tcPr>
            <w:tcW w:type="dxa" w:w="4320"/>
          </w:tcPr>
          <w:p>
            <w:r>
              <w:rPr>
                <w:rFonts w:ascii="Calibri" w:hAnsi="Calibri"/>
                <w:b/>
                <w:sz w:val="22"/>
              </w:rPr>
              <w:t>Prepared</w:t>
            </w:r>
          </w:p>
        </w:tc>
        <w:tc>
          <w:tcPr>
            <w:tcW w:type="dxa" w:w="4320"/>
          </w:tcPr>
          <w:p>
            <w:r>
              <w:rPr>
                <w:rFonts w:ascii="Calibri" w:hAnsi="Calibri"/>
                <w:sz w:val="22"/>
              </w:rPr>
              <w:t>August 2, 2026</w:t>
            </w:r>
          </w:p>
        </w:tc>
      </w:tr>
      <w:tr>
        <w:tc>
          <w:tcPr>
            <w:tcW w:type="dxa" w:w="4320"/>
          </w:tcPr>
          <w:p>
            <w:r>
              <w:rPr>
                <w:rFonts w:ascii="Calibri" w:hAnsi="Calibri"/>
                <w:b/>
                <w:sz w:val="22"/>
              </w:rPr>
              <w:t>Sector / Sub-sector</w:t>
            </w:r>
          </w:p>
        </w:tc>
        <w:tc>
          <w:tcPr>
            <w:tcW w:type="dxa" w:w="4320"/>
          </w:tcPr>
          <w:p>
            <w:r>
              <w:rPr>
                <w:rFonts w:ascii="Calibri" w:hAnsi="Calibri"/>
                <w:sz w:val="22"/>
              </w:rPr>
              <w:t>Semiconductors — Power, Automotive &amp; Industrial Analog</w:t>
            </w:r>
          </w:p>
        </w:tc>
      </w:tr>
      <w:tr>
        <w:tc>
          <w:tcPr>
            <w:tcW w:type="dxa" w:w="4320"/>
          </w:tcPr>
          <w:p>
            <w:r>
              <w:rPr>
                <w:rFonts w:ascii="Calibri" w:hAnsi="Calibri"/>
                <w:b/>
                <w:sz w:val="22"/>
              </w:rPr>
              <w:t>Primary Valuation Metric</w:t>
            </w:r>
          </w:p>
        </w:tc>
        <w:tc>
          <w:tcPr>
            <w:tcW w:type="dxa" w:w="4320"/>
          </w:tcPr>
          <w:p>
            <w:r>
              <w:rPr>
                <w:rFonts w:ascii="Calibri" w:hAnsi="Calibri"/>
                <w:sz w:val="22"/>
              </w:rPr>
              <w:t>NTM P/E (22.1x as of July 31, 2026); EV/EBITDA (13.1x NTM)</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Consensus is a manageable bar — revenue guidance midpoint of $1.585B sits essentially in line with the $1.589B Street estimate — but the real swing factor is whether AI data center revenue continues to dramatically outpace internal expectations as it did in Q1, and how the market digests the all-stock Synaptics acquisition announced June 25.</w:t>
      </w:r>
    </w:p>
    <w:p>
      <w:r>
        <w:rPr>
          <w:rFonts w:ascii="Calibri" w:hAnsi="Calibri"/>
          <w:color w:val="525866"/>
          <w:sz w:val="22"/>
        </w:rPr>
        <w:t xml:space="preserve">Heading into the Q2 2026 print, onsemi's setup is constructive but nuanced. </w:t>
      </w:r>
      <w:r>
        <w:rPr>
          <w:rFonts w:ascii="Calibri" w:hAnsi="Calibri"/>
          <w:b/>
          <w:color w:val="525866"/>
          <w:sz w:val="22"/>
        </w:rPr>
        <w:t xml:space="preserve">The bar is not stretched: </w:t>
      </w:r>
      <w:r>
        <w:rPr>
          <w:rFonts w:ascii="Calibri" w:hAnsi="Calibri"/>
          <w:color w:val="525866"/>
          <w:sz w:val="22"/>
        </w:rPr>
        <w:t xml:space="preserve">consensus revenue of ~$1.589B sits at the top of the $1.535B–$1.635B guidance range, and non-GAAP EPS consensus of ~$0.71 is near the midpoint of the $0.65–$0.77 guided range, leaving room for a modest beat without requiring heroics. Management's tone on the Q1 call was the most confident in several quarters — explicitly declaring the cycle has found its low, flagging that H2 is expected to outgrow H1, and upgrading the full-year AI data center outlook to doubling year-over-year — and nothing in the peer commentary since then contradicts that posture. </w:t>
      </w:r>
      <w:r>
        <w:rPr>
          <w:rFonts w:ascii="Calibri" w:hAnsi="Calibri"/>
          <w:b/>
          <w:color w:val="525866"/>
          <w:sz w:val="22"/>
        </w:rPr>
        <w:t>Estimate revisions have been essentially flat since the Q1 print</w:t>
      </w:r>
      <w:r>
        <w:rPr>
          <w:rFonts w:ascii="Calibri" w:hAnsi="Calibri"/>
          <w:color w:val="525866"/>
          <w:sz w:val="22"/>
        </w:rPr>
        <w:t xml:space="preserve"> (revenue consensus moved from $1.588B to $1.589B; EPS from $0.714 to $0.715), suggesting the Street has largely anchored to guidance rather than building in incremental upside — a setup that historically favors a beat if AI data center momentum holds. The stock, however, has given back most of its post-Q1 gains, falling from a peak of ~$134 in early June to ~$82 by July 31 (down ~20% since earnings), driven almost entirely by multiple compression and the dilutive overhang of the all-stock Synaptics deal announced June 25 — not by deteriorating fundamentals. </w:t>
      </w:r>
      <w:r>
        <w:rPr>
          <w:rFonts w:ascii="Calibri" w:hAnsi="Calibri"/>
          <w:b/>
          <w:color w:val="525866"/>
          <w:sz w:val="22"/>
        </w:rPr>
        <w:t xml:space="preserve">The key wildcard is the Synaptics acquisition: </w:t>
      </w:r>
      <w:r>
        <w:rPr>
          <w:rFonts w:ascii="Calibri" w:hAnsi="Calibri"/>
          <w:color w:val="525866"/>
          <w:sz w:val="22"/>
        </w:rPr>
        <w:t>investors will scrutinize management's strategic rationale, deal financing mechanics (the $1.5B convertible note offering completed May 11), and any updated financial framework, with the risk that deal-related uncertainty continues to weigh on the multiple even if the operating quarter itself is clean.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anchored tightly to guidance midpoints. </w:t>
      </w:r>
      <w:r>
        <w:rPr>
          <w:rFonts w:ascii="Calibri" w:hAnsi="Calibri"/>
          <w:color w:val="525866"/>
          <w:sz w:val="22"/>
        </w:rPr>
        <w:t>AI data center revenue trajectory and gross margin expansion are the two biggest swing factors — both have been consistently surprising to the upside.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Revenue ($B)</w:t>
            </w:r>
          </w:p>
        </w:tc>
        <w:tc>
          <w:tcPr>
            <w:tcW w:type="dxa" w:w="1234"/>
          </w:tcPr>
          <w:p>
            <w:r>
              <w:rPr>
                <w:rFonts w:ascii="Calibri" w:hAnsi="Calibri"/>
                <w:sz w:val="22"/>
              </w:rPr>
              <w:t>$1.513B</w:t>
            </w:r>
          </w:p>
        </w:tc>
        <w:tc>
          <w:tcPr>
            <w:tcW w:type="dxa" w:w="1234"/>
          </w:tcPr>
          <w:p>
            <w:r>
              <w:rPr>
                <w:rFonts w:ascii="Calibri" w:hAnsi="Calibri"/>
                <w:sz w:val="22"/>
              </w:rPr>
              <w:t>$1.469B</w:t>
            </w:r>
          </w:p>
        </w:tc>
        <w:tc>
          <w:tcPr>
            <w:tcW w:type="dxa" w:w="1234"/>
          </w:tcPr>
          <w:p>
            <w:r>
              <w:rPr>
                <w:rFonts w:ascii="Calibri" w:hAnsi="Calibri"/>
                <w:sz w:val="22"/>
              </w:rPr>
              <w:t>$1.589B</w:t>
            </w:r>
          </w:p>
        </w:tc>
        <w:tc>
          <w:tcPr>
            <w:tcW w:type="dxa" w:w="1234"/>
          </w:tcPr>
          <w:p>
            <w:r>
              <w:rPr>
                <w:rFonts w:ascii="Calibri" w:hAnsi="Calibri"/>
                <w:sz w:val="22"/>
              </w:rPr>
              <w:t>+8.2%</w:t>
            </w:r>
          </w:p>
        </w:tc>
        <w:tc>
          <w:tcPr>
            <w:tcW w:type="dxa" w:w="1234"/>
          </w:tcPr>
          <w:p>
            <w:r>
              <w:rPr>
                <w:rFonts w:ascii="Calibri" w:hAnsi="Calibri"/>
                <w:sz w:val="22"/>
              </w:rPr>
              <w:t>$1.585B</w:t>
            </w:r>
          </w:p>
        </w:tc>
        <w:tc>
          <w:tcPr>
            <w:tcW w:type="dxa" w:w="1234"/>
          </w:tcPr>
          <w:p>
            <w:r>
              <w:rPr>
                <w:rFonts w:ascii="Calibri" w:hAnsi="Calibri"/>
                <w:sz w:val="22"/>
              </w:rPr>
              <w:t>+0.3%</w:t>
            </w:r>
          </w:p>
        </w:tc>
      </w:tr>
      <w:tr>
        <w:tc>
          <w:tcPr>
            <w:tcW w:type="dxa" w:w="1234"/>
          </w:tcPr>
          <w:p>
            <w:r>
              <w:rPr>
                <w:rFonts w:ascii="Calibri" w:hAnsi="Calibri"/>
                <w:sz w:val="22"/>
              </w:rPr>
              <w:t>Non-GAAP Diluted EPS</w:t>
            </w:r>
          </w:p>
        </w:tc>
        <w:tc>
          <w:tcPr>
            <w:tcW w:type="dxa" w:w="1234"/>
          </w:tcPr>
          <w:p>
            <w:r>
              <w:rPr>
                <w:rFonts w:ascii="Calibri" w:hAnsi="Calibri"/>
                <w:sz w:val="22"/>
              </w:rPr>
              <w:t>$0.64</w:t>
            </w:r>
          </w:p>
        </w:tc>
        <w:tc>
          <w:tcPr>
            <w:tcW w:type="dxa" w:w="1234"/>
          </w:tcPr>
          <w:p>
            <w:r>
              <w:rPr>
                <w:rFonts w:ascii="Calibri" w:hAnsi="Calibri"/>
                <w:sz w:val="22"/>
              </w:rPr>
              <w:t>$0.53</w:t>
            </w:r>
          </w:p>
        </w:tc>
        <w:tc>
          <w:tcPr>
            <w:tcW w:type="dxa" w:w="1234"/>
          </w:tcPr>
          <w:p>
            <w:r>
              <w:rPr>
                <w:rFonts w:ascii="Calibri" w:hAnsi="Calibri"/>
                <w:sz w:val="22"/>
              </w:rPr>
              <w:t>$0.71</w:t>
            </w:r>
          </w:p>
        </w:tc>
        <w:tc>
          <w:tcPr>
            <w:tcW w:type="dxa" w:w="1234"/>
          </w:tcPr>
          <w:p>
            <w:r>
              <w:rPr>
                <w:rFonts w:ascii="Calibri" w:hAnsi="Calibri"/>
                <w:sz w:val="22"/>
              </w:rPr>
              <w:t>+34.0%</w:t>
            </w:r>
          </w:p>
        </w:tc>
        <w:tc>
          <w:tcPr>
            <w:tcW w:type="dxa" w:w="1234"/>
          </w:tcPr>
          <w:p>
            <w:r>
              <w:rPr>
                <w:rFonts w:ascii="Calibri" w:hAnsi="Calibri"/>
                <w:sz w:val="22"/>
              </w:rPr>
              <w:t>$0.71 (midpoint $0.65–$0.77)</w:t>
            </w:r>
          </w:p>
        </w:tc>
        <w:tc>
          <w:tcPr>
            <w:tcW w:type="dxa" w:w="1234"/>
          </w:tcPr>
          <w:p>
            <w:r>
              <w:rPr>
                <w:rFonts w:ascii="Calibri" w:hAnsi="Calibri"/>
                <w:sz w:val="22"/>
              </w:rPr>
              <w:t>~0%</w:t>
            </w:r>
          </w:p>
        </w:tc>
      </w:tr>
      <w:tr>
        <w:tc>
          <w:tcPr>
            <w:tcW w:type="dxa" w:w="1234"/>
          </w:tcPr>
          <w:p>
            <w:r>
              <w:rPr>
                <w:rFonts w:ascii="Calibri" w:hAnsi="Calibri"/>
                <w:sz w:val="22"/>
              </w:rPr>
              <w:t>Non-GAAP Gross Margin (%)</w:t>
            </w:r>
          </w:p>
        </w:tc>
        <w:tc>
          <w:tcPr>
            <w:tcW w:type="dxa" w:w="1234"/>
          </w:tcPr>
          <w:p>
            <w:r>
              <w:rPr>
                <w:rFonts w:ascii="Calibri" w:hAnsi="Calibri"/>
                <w:sz w:val="22"/>
              </w:rPr>
              <w:t>38.5%</w:t>
            </w:r>
          </w:p>
        </w:tc>
        <w:tc>
          <w:tcPr>
            <w:tcW w:type="dxa" w:w="1234"/>
          </w:tcPr>
          <w:p>
            <w:r>
              <w:rPr>
                <w:rFonts w:ascii="Calibri" w:hAnsi="Calibri"/>
                <w:sz w:val="22"/>
              </w:rPr>
              <w:t>37.6%</w:t>
            </w:r>
          </w:p>
        </w:tc>
        <w:tc>
          <w:tcPr>
            <w:tcW w:type="dxa" w:w="1234"/>
          </w:tcPr>
          <w:p>
            <w:r>
              <w:rPr>
                <w:rFonts w:ascii="Calibri" w:hAnsi="Calibri"/>
                <w:sz w:val="22"/>
              </w:rPr>
              <w:t>~39.1%</w:t>
            </w:r>
          </w:p>
        </w:tc>
        <w:tc>
          <w:tcPr>
            <w:tcW w:type="dxa" w:w="1234"/>
          </w:tcPr>
          <w:p>
            <w:r>
              <w:rPr>
                <w:rFonts w:ascii="Calibri" w:hAnsi="Calibri"/>
                <w:sz w:val="22"/>
              </w:rPr>
              <w:t>+150 bps</w:t>
            </w:r>
          </w:p>
        </w:tc>
        <w:tc>
          <w:tcPr>
            <w:tcW w:type="dxa" w:w="1234"/>
          </w:tcPr>
          <w:p>
            <w:r>
              <w:rPr>
                <w:rFonts w:ascii="Calibri" w:hAnsi="Calibri"/>
                <w:sz w:val="22"/>
              </w:rPr>
              <w:t>38%–40% (midpoint 39%)</w:t>
            </w:r>
          </w:p>
        </w:tc>
        <w:tc>
          <w:tcPr>
            <w:tcW w:type="dxa" w:w="1234"/>
          </w:tcPr>
          <w:p>
            <w:r>
              <w:rPr>
                <w:rFonts w:ascii="Calibri" w:hAnsi="Calibri"/>
                <w:sz w:val="22"/>
              </w:rPr>
              <w:t>+10 bps</w:t>
            </w:r>
          </w:p>
        </w:tc>
      </w:tr>
      <w:tr>
        <w:tc>
          <w:tcPr>
            <w:tcW w:type="dxa" w:w="1234"/>
          </w:tcPr>
          <w:p>
            <w:r>
              <w:rPr>
                <w:rFonts w:ascii="Calibri" w:hAnsi="Calibri"/>
                <w:sz w:val="22"/>
              </w:rPr>
              <w:t>Automotive Revenue ($B)</w:t>
            </w:r>
          </w:p>
        </w:tc>
        <w:tc>
          <w:tcPr>
            <w:tcW w:type="dxa" w:w="1234"/>
          </w:tcPr>
          <w:p>
            <w:r>
              <w:rPr>
                <w:rFonts w:ascii="Calibri" w:hAnsi="Calibri"/>
                <w:sz w:val="22"/>
              </w:rPr>
              <w:t>$0.797B</w:t>
            </w:r>
          </w:p>
        </w:tc>
        <w:tc>
          <w:tcPr>
            <w:tcW w:type="dxa" w:w="1234"/>
          </w:tcPr>
          <w:p>
            <w:r>
              <w:rPr>
                <w:rFonts w:ascii="Calibri" w:hAnsi="Calibri"/>
                <w:sz w:val="22"/>
              </w:rPr>
              <w:t>$0.733B</w:t>
            </w:r>
          </w:p>
        </w:tc>
        <w:tc>
          <w:tcPr>
            <w:tcW w:type="dxa" w:w="1234"/>
          </w:tcPr>
          <w:p>
            <w:r>
              <w:rPr>
                <w:rFonts w:ascii="Calibri" w:hAnsi="Calibri"/>
                <w:sz w:val="22"/>
              </w:rPr>
              <w:t>$0.800B</w:t>
            </w:r>
          </w:p>
        </w:tc>
        <w:tc>
          <w:tcPr>
            <w:tcW w:type="dxa" w:w="1234"/>
          </w:tcPr>
          <w:p>
            <w:r>
              <w:rPr>
                <w:rFonts w:ascii="Calibri" w:hAnsi="Calibri"/>
                <w:sz w:val="22"/>
              </w:rPr>
              <w:t>+9.1%</w:t>
            </w:r>
          </w:p>
        </w:tc>
        <w:tc>
          <w:tcPr>
            <w:tcW w:type="dxa" w:w="1234"/>
          </w:tcPr>
          <w:p>
            <w:r>
              <w:rPr>
                <w:rFonts w:ascii="Calibri" w:hAnsi="Calibri"/>
                <w:sz w:val="22"/>
              </w:rPr>
              <w:t>N/A — not separately guided</w:t>
            </w:r>
          </w:p>
        </w:tc>
        <w:tc>
          <w:tcPr>
            <w:tcW w:type="dxa" w:w="1234"/>
          </w:tcPr>
          <w:p>
            <w:r>
              <w:rPr>
                <w:rFonts w:ascii="Calibri" w:hAnsi="Calibri"/>
                <w:sz w:val="22"/>
              </w:rPr>
              <w:t>N/A</w:t>
            </w:r>
          </w:p>
        </w:tc>
      </w:tr>
      <w:tr>
        <w:tc>
          <w:tcPr>
            <w:tcW w:type="dxa" w:w="1234"/>
          </w:tcPr>
          <w:p>
            <w:r>
              <w:rPr>
                <w:rFonts w:ascii="Calibri" w:hAnsi="Calibri"/>
                <w:sz w:val="22"/>
              </w:rPr>
              <w:t>Industrial / Medical / Aero Revenue ($B)</w:t>
            </w:r>
          </w:p>
        </w:tc>
        <w:tc>
          <w:tcPr>
            <w:tcW w:type="dxa" w:w="1234"/>
          </w:tcPr>
          <w:p>
            <w:r>
              <w:rPr>
                <w:rFonts w:ascii="Calibri" w:hAnsi="Calibri"/>
                <w:sz w:val="22"/>
              </w:rPr>
              <w:t>$0.417B</w:t>
            </w:r>
          </w:p>
        </w:tc>
        <w:tc>
          <w:tcPr>
            <w:tcW w:type="dxa" w:w="1234"/>
          </w:tcPr>
          <w:p>
            <w:r>
              <w:rPr>
                <w:rFonts w:ascii="Calibri" w:hAnsi="Calibri"/>
                <w:sz w:val="22"/>
              </w:rPr>
              <w:t>$0.406B</w:t>
            </w:r>
          </w:p>
        </w:tc>
        <w:tc>
          <w:tcPr>
            <w:tcW w:type="dxa" w:w="1234"/>
          </w:tcPr>
          <w:p>
            <w:r>
              <w:rPr>
                <w:rFonts w:ascii="Calibri" w:hAnsi="Calibri"/>
                <w:sz w:val="22"/>
              </w:rPr>
              <w:t>$0.452B</w:t>
            </w:r>
          </w:p>
        </w:tc>
        <w:tc>
          <w:tcPr>
            <w:tcW w:type="dxa" w:w="1234"/>
          </w:tcPr>
          <w:p>
            <w:r>
              <w:rPr>
                <w:rFonts w:ascii="Calibri" w:hAnsi="Calibri"/>
                <w:sz w:val="22"/>
              </w:rPr>
              <w:t>+11.3%</w:t>
            </w:r>
          </w:p>
        </w:tc>
        <w:tc>
          <w:tcPr>
            <w:tcW w:type="dxa" w:w="1234"/>
          </w:tcPr>
          <w:p>
            <w:r>
              <w:rPr>
                <w:rFonts w:ascii="Calibri" w:hAnsi="Calibri"/>
                <w:sz w:val="22"/>
              </w:rPr>
              <w:t>N/A — not separately guided</w:t>
            </w:r>
          </w:p>
        </w:tc>
        <w:tc>
          <w:tcPr>
            <w:tcW w:type="dxa" w:w="1234"/>
          </w:tcPr>
          <w:p>
            <w:r>
              <w:rPr>
                <w:rFonts w:ascii="Calibri" w:hAnsi="Calibri"/>
                <w:sz w:val="22"/>
              </w:rPr>
              <w:t>N/A</w:t>
            </w:r>
          </w:p>
        </w:tc>
      </w:tr>
      <w:tr>
        <w:tc>
          <w:tcPr>
            <w:tcW w:type="dxa" w:w="1234"/>
          </w:tcPr>
          <w:p>
            <w:r>
              <w:rPr>
                <w:rFonts w:ascii="Calibri" w:hAnsi="Calibri"/>
                <w:sz w:val="22"/>
              </w:rPr>
              <w:t>Non-GAAP Operating Gross Profit ($B)</w:t>
            </w:r>
          </w:p>
        </w:tc>
        <w:tc>
          <w:tcPr>
            <w:tcW w:type="dxa" w:w="1234"/>
          </w:tcPr>
          <w:p>
            <w:r>
              <w:rPr>
                <w:rFonts w:ascii="Calibri" w:hAnsi="Calibri"/>
                <w:sz w:val="22"/>
              </w:rPr>
              <w:t>$0.583B</w:t>
            </w:r>
          </w:p>
        </w:tc>
        <w:tc>
          <w:tcPr>
            <w:tcW w:type="dxa" w:w="1234"/>
          </w:tcPr>
          <w:p>
            <w:r>
              <w:rPr>
                <w:rFonts w:ascii="Calibri" w:hAnsi="Calibri"/>
                <w:sz w:val="22"/>
              </w:rPr>
              <w:t>$0.553B</w:t>
            </w:r>
          </w:p>
        </w:tc>
        <w:tc>
          <w:tcPr>
            <w:tcW w:type="dxa" w:w="1234"/>
          </w:tcPr>
          <w:p>
            <w:r>
              <w:rPr>
                <w:rFonts w:ascii="Calibri" w:hAnsi="Calibri"/>
                <w:sz w:val="22"/>
              </w:rPr>
              <w:t>$0.622B</w:t>
            </w:r>
          </w:p>
        </w:tc>
        <w:tc>
          <w:tcPr>
            <w:tcW w:type="dxa" w:w="1234"/>
          </w:tcPr>
          <w:p>
            <w:r>
              <w:rPr>
                <w:rFonts w:ascii="Calibri" w:hAnsi="Calibri"/>
                <w:sz w:val="22"/>
              </w:rPr>
              <w:t>+12.5%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$0.217B</w:t>
            </w:r>
          </w:p>
        </w:tc>
        <w:tc>
          <w:tcPr>
            <w:tcW w:type="dxa" w:w="1234"/>
          </w:tcPr>
          <w:p>
            <w:r>
              <w:rPr>
                <w:rFonts w:ascii="Calibri" w:hAnsi="Calibri"/>
                <w:sz w:val="22"/>
              </w:rPr>
              <w:t>$0.106B</w:t>
            </w:r>
          </w:p>
        </w:tc>
        <w:tc>
          <w:tcPr>
            <w:tcW w:type="dxa" w:w="1234"/>
          </w:tcPr>
          <w:p>
            <w:r>
              <w:rPr>
                <w:rFonts w:ascii="Calibri" w:hAnsi="Calibri"/>
                <w:sz w:val="22"/>
              </w:rPr>
              <w:t>$0.386B</w:t>
            </w:r>
          </w:p>
        </w:tc>
        <w:tc>
          <w:tcPr>
            <w:tcW w:type="dxa" w:w="1234"/>
          </w:tcPr>
          <w:p>
            <w:r>
              <w:rPr>
                <w:rFonts w:ascii="Calibri" w:hAnsi="Calibri"/>
                <w:sz w:val="22"/>
              </w:rPr>
              <w:t>+264%</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Revenue, EPS, Gross Profit, Automotive Revenue, Industrial Revenue, Free Cash Flow consensus and actuals from Visible Alpha. Q2 2026 guidance from ON Q1 2026 earnings call (May 4, 2026). Non-GAAP Gross Margin consensus derived from Gross Profit / Revenue consensus. YoY change computed vs. Q2 2025 actuals.</w:t>
      </w:r>
    </w:p>
    <w:p>
      <w:pPr>
        <w:pStyle w:val="Heading3"/>
      </w:pPr>
      <w:r>
        <w:rPr>
          <w:rFonts w:ascii="Calibri" w:hAnsi="Calibri"/>
          <w:b/>
          <w:color w:val="3B4259"/>
          <w:sz w:val="24"/>
        </w:rPr>
        <w:t>Table 2 — Beat / Miss History (Last 8 Quarters) — Top 2 KPIs: Revenue &amp; Non-GAAP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($B)</w:t>
            </w:r>
          </w:p>
        </w:tc>
        <w:tc>
          <w:tcPr>
            <w:tcW w:type="dxa" w:w="1080"/>
            <w:shd w:val="clear" w:color="auto" w:fill="3B4259"/>
          </w:tcPr>
          <w:p>
            <w:r>
              <w:rPr>
                <w:rFonts w:ascii="Calibri" w:hAnsi="Calibri"/>
                <w:b/>
                <w:color w:val="FFFFFF"/>
                <w:sz w:val="22"/>
              </w:rPr>
              <w:t>Revenue Consensus ($B)</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$1.513B</w:t>
            </w:r>
          </w:p>
        </w:tc>
        <w:tc>
          <w:tcPr>
            <w:tcW w:type="dxa" w:w="1080"/>
          </w:tcPr>
          <w:p>
            <w:r>
              <w:rPr>
                <w:rFonts w:ascii="Calibri" w:hAnsi="Calibri"/>
                <w:sz w:val="22"/>
              </w:rPr>
              <w:t>$1.488B</w:t>
            </w:r>
          </w:p>
        </w:tc>
        <w:tc>
          <w:tcPr>
            <w:tcW w:type="dxa" w:w="1080"/>
          </w:tcPr>
          <w:p>
            <w:r>
              <w:rPr>
                <w:rFonts w:ascii="Calibri" w:hAnsi="Calibri"/>
                <w:b/>
                <w:color w:val="30A46C"/>
                <w:sz w:val="22"/>
              </w:rPr>
              <w:t>+1.7%</w:t>
            </w:r>
          </w:p>
        </w:tc>
        <w:tc>
          <w:tcPr>
            <w:tcW w:type="dxa" w:w="1080"/>
          </w:tcPr>
          <w:p>
            <w:r>
              <w:rPr>
                <w:rFonts w:ascii="Calibri" w:hAnsi="Calibri"/>
                <w:sz w:val="22"/>
              </w:rPr>
              <w:t>$0.64</w:t>
            </w:r>
          </w:p>
        </w:tc>
        <w:tc>
          <w:tcPr>
            <w:tcW w:type="dxa" w:w="1080"/>
          </w:tcPr>
          <w:p>
            <w:r>
              <w:rPr>
                <w:rFonts w:ascii="Calibri" w:hAnsi="Calibri"/>
                <w:sz w:val="22"/>
              </w:rPr>
              <w:t>$0.62</w:t>
            </w:r>
          </w:p>
        </w:tc>
        <w:tc>
          <w:tcPr>
            <w:tcW w:type="dxa" w:w="1080"/>
          </w:tcPr>
          <w:p>
            <w:r>
              <w:rPr>
                <w:rFonts w:ascii="Calibri" w:hAnsi="Calibri"/>
                <w:b/>
                <w:color w:val="30A46C"/>
                <w:sz w:val="22"/>
              </w:rPr>
              <w:t>+3.2%</w:t>
            </w:r>
          </w:p>
        </w:tc>
        <w:tc>
          <w:tcPr>
            <w:tcW w:type="dxa" w:w="1080"/>
          </w:tcPr>
          <w:p>
            <w:r>
              <w:rPr>
                <w:rFonts w:ascii="Calibri" w:hAnsi="Calibri"/>
                <w:sz w:val="22"/>
              </w:rPr>
              <w:t>Beat / Beat</w:t>
            </w:r>
          </w:p>
        </w:tc>
      </w:tr>
      <w:tr>
        <w:tc>
          <w:tcPr>
            <w:tcW w:type="dxa" w:w="1080"/>
          </w:tcPr>
          <w:p>
            <w:r>
              <w:rPr>
                <w:rFonts w:ascii="Calibri" w:hAnsi="Calibri"/>
                <w:sz w:val="22"/>
              </w:rPr>
              <w:t>Q4 2025</w:t>
            </w:r>
          </w:p>
        </w:tc>
        <w:tc>
          <w:tcPr>
            <w:tcW w:type="dxa" w:w="1080"/>
          </w:tcPr>
          <w:p>
            <w:r>
              <w:rPr>
                <w:rFonts w:ascii="Calibri" w:hAnsi="Calibri"/>
                <w:sz w:val="22"/>
              </w:rPr>
              <w:t>$1.530B</w:t>
            </w:r>
          </w:p>
        </w:tc>
        <w:tc>
          <w:tcPr>
            <w:tcW w:type="dxa" w:w="1080"/>
          </w:tcPr>
          <w:p>
            <w:r>
              <w:rPr>
                <w:rFonts w:ascii="Calibri" w:hAnsi="Calibri"/>
                <w:sz w:val="22"/>
              </w:rPr>
              <w:t>$1.535B</w:t>
            </w:r>
          </w:p>
        </w:tc>
        <w:tc>
          <w:tcPr>
            <w:tcW w:type="dxa" w:w="1080"/>
          </w:tcPr>
          <w:p>
            <w:r>
              <w:rPr>
                <w:rFonts w:ascii="Calibri" w:hAnsi="Calibri"/>
                <w:b/>
                <w:color w:val="E5484D"/>
                <w:sz w:val="22"/>
              </w:rPr>
              <w:t>-0.3%</w:t>
            </w:r>
          </w:p>
        </w:tc>
        <w:tc>
          <w:tcPr>
            <w:tcW w:type="dxa" w:w="1080"/>
          </w:tcPr>
          <w:p>
            <w:r>
              <w:rPr>
                <w:rFonts w:ascii="Calibri" w:hAnsi="Calibri"/>
                <w:sz w:val="22"/>
              </w:rPr>
              <w:t>$0.64</w:t>
            </w:r>
          </w:p>
        </w:tc>
        <w:tc>
          <w:tcPr>
            <w:tcW w:type="dxa" w:w="1080"/>
          </w:tcPr>
          <w:p>
            <w:r>
              <w:rPr>
                <w:rFonts w:ascii="Calibri" w:hAnsi="Calibri"/>
                <w:sz w:val="22"/>
              </w:rPr>
              <w:t>$0.62</w:t>
            </w:r>
          </w:p>
        </w:tc>
        <w:tc>
          <w:tcPr>
            <w:tcW w:type="dxa" w:w="1080"/>
          </w:tcPr>
          <w:p>
            <w:r>
              <w:rPr>
                <w:rFonts w:ascii="Calibri" w:hAnsi="Calibri"/>
                <w:b/>
                <w:color w:val="30A46C"/>
                <w:sz w:val="22"/>
              </w:rPr>
              <w:t>+3.2%</w:t>
            </w:r>
          </w:p>
        </w:tc>
        <w:tc>
          <w:tcPr>
            <w:tcW w:type="dxa" w:w="1080"/>
          </w:tcPr>
          <w:p>
            <w:r>
              <w:rPr>
                <w:rFonts w:ascii="Calibri" w:hAnsi="Calibri"/>
                <w:sz w:val="22"/>
              </w:rPr>
              <w:t>Miss / Beat</w:t>
            </w:r>
          </w:p>
        </w:tc>
      </w:tr>
      <w:tr>
        <w:tc>
          <w:tcPr>
            <w:tcW w:type="dxa" w:w="1080"/>
          </w:tcPr>
          <w:p>
            <w:r>
              <w:rPr>
                <w:rFonts w:ascii="Calibri" w:hAnsi="Calibri"/>
                <w:sz w:val="22"/>
              </w:rPr>
              <w:t>Q3 2025</w:t>
            </w:r>
          </w:p>
        </w:tc>
        <w:tc>
          <w:tcPr>
            <w:tcW w:type="dxa" w:w="1080"/>
          </w:tcPr>
          <w:p>
            <w:r>
              <w:rPr>
                <w:rFonts w:ascii="Calibri" w:hAnsi="Calibri"/>
                <w:sz w:val="22"/>
              </w:rPr>
              <w:t>$1.551B</w:t>
            </w:r>
          </w:p>
        </w:tc>
        <w:tc>
          <w:tcPr>
            <w:tcW w:type="dxa" w:w="1080"/>
          </w:tcPr>
          <w:p>
            <w:r>
              <w:rPr>
                <w:rFonts w:ascii="Calibri" w:hAnsi="Calibri"/>
                <w:sz w:val="22"/>
              </w:rPr>
              <w:t>$1.517B</w:t>
            </w:r>
          </w:p>
        </w:tc>
        <w:tc>
          <w:tcPr>
            <w:tcW w:type="dxa" w:w="1080"/>
          </w:tcPr>
          <w:p>
            <w:r>
              <w:rPr>
                <w:rFonts w:ascii="Calibri" w:hAnsi="Calibri"/>
                <w:b/>
                <w:color w:val="30A46C"/>
                <w:sz w:val="22"/>
              </w:rPr>
              <w:t>+2.2%</w:t>
            </w:r>
          </w:p>
        </w:tc>
        <w:tc>
          <w:tcPr>
            <w:tcW w:type="dxa" w:w="1080"/>
          </w:tcPr>
          <w:p>
            <w:r>
              <w:rPr>
                <w:rFonts w:ascii="Calibri" w:hAnsi="Calibri"/>
                <w:sz w:val="22"/>
              </w:rPr>
              <w:t>$0.63</w:t>
            </w:r>
          </w:p>
        </w:tc>
        <w:tc>
          <w:tcPr>
            <w:tcW w:type="dxa" w:w="1080"/>
          </w:tcPr>
          <w:p>
            <w:r>
              <w:rPr>
                <w:rFonts w:ascii="Calibri" w:hAnsi="Calibri"/>
                <w:sz w:val="22"/>
              </w:rPr>
              <w:t>$0.59</w:t>
            </w:r>
          </w:p>
        </w:tc>
        <w:tc>
          <w:tcPr>
            <w:tcW w:type="dxa" w:w="1080"/>
          </w:tcPr>
          <w:p>
            <w:r>
              <w:rPr>
                <w:rFonts w:ascii="Calibri" w:hAnsi="Calibri"/>
                <w:b/>
                <w:color w:val="30A46C"/>
                <w:sz w:val="22"/>
              </w:rPr>
              <w:t>+6.8%</w:t>
            </w:r>
          </w:p>
        </w:tc>
        <w:tc>
          <w:tcPr>
            <w:tcW w:type="dxa" w:w="1080"/>
          </w:tcPr>
          <w:p>
            <w:r>
              <w:rPr>
                <w:rFonts w:ascii="Calibri" w:hAnsi="Calibri"/>
                <w:sz w:val="22"/>
              </w:rPr>
              <w:t>Beat / Beat</w:t>
            </w:r>
          </w:p>
        </w:tc>
      </w:tr>
      <w:tr>
        <w:tc>
          <w:tcPr>
            <w:tcW w:type="dxa" w:w="1080"/>
          </w:tcPr>
          <w:p>
            <w:r>
              <w:rPr>
                <w:rFonts w:ascii="Calibri" w:hAnsi="Calibri"/>
                <w:sz w:val="22"/>
              </w:rPr>
              <w:t>Q2 2025</w:t>
            </w:r>
          </w:p>
        </w:tc>
        <w:tc>
          <w:tcPr>
            <w:tcW w:type="dxa" w:w="1080"/>
          </w:tcPr>
          <w:p>
            <w:r>
              <w:rPr>
                <w:rFonts w:ascii="Calibri" w:hAnsi="Calibri"/>
                <w:sz w:val="22"/>
              </w:rPr>
              <w:t>$1.469B</w:t>
            </w:r>
          </w:p>
        </w:tc>
        <w:tc>
          <w:tcPr>
            <w:tcW w:type="dxa" w:w="1080"/>
          </w:tcPr>
          <w:p>
            <w:r>
              <w:rPr>
                <w:rFonts w:ascii="Calibri" w:hAnsi="Calibri"/>
                <w:sz w:val="22"/>
              </w:rPr>
              <w:t>$1.451B</w:t>
            </w:r>
          </w:p>
        </w:tc>
        <w:tc>
          <w:tcPr>
            <w:tcW w:type="dxa" w:w="1080"/>
          </w:tcPr>
          <w:p>
            <w:r>
              <w:rPr>
                <w:rFonts w:ascii="Calibri" w:hAnsi="Calibri"/>
                <w:b/>
                <w:color w:val="30A46C"/>
                <w:sz w:val="22"/>
              </w:rPr>
              <w:t>+1.2%</w:t>
            </w:r>
          </w:p>
        </w:tc>
        <w:tc>
          <w:tcPr>
            <w:tcW w:type="dxa" w:w="1080"/>
          </w:tcPr>
          <w:p>
            <w:r>
              <w:rPr>
                <w:rFonts w:ascii="Calibri" w:hAnsi="Calibri"/>
                <w:sz w:val="22"/>
              </w:rPr>
              <w:t>$0.53</w:t>
            </w:r>
          </w:p>
        </w:tc>
        <w:tc>
          <w:tcPr>
            <w:tcW w:type="dxa" w:w="1080"/>
          </w:tcPr>
          <w:p>
            <w:r>
              <w:rPr>
                <w:rFonts w:ascii="Calibri" w:hAnsi="Calibri"/>
                <w:sz w:val="22"/>
              </w:rPr>
              <w:t>$0.53</w:t>
            </w:r>
          </w:p>
        </w:tc>
        <w:tc>
          <w:tcPr>
            <w:tcW w:type="dxa" w:w="1080"/>
          </w:tcPr>
          <w:p>
            <w:r>
              <w:rPr>
                <w:rFonts w:ascii="Calibri" w:hAnsi="Calibri"/>
                <w:sz w:val="22"/>
              </w:rPr>
              <w:t>0.0%</w:t>
            </w:r>
          </w:p>
        </w:tc>
        <w:tc>
          <w:tcPr>
            <w:tcW w:type="dxa" w:w="1080"/>
          </w:tcPr>
          <w:p>
            <w:r>
              <w:rPr>
                <w:rFonts w:ascii="Calibri" w:hAnsi="Calibri"/>
                <w:sz w:val="22"/>
              </w:rPr>
              <w:t>Beat / In-Line</w:t>
            </w:r>
          </w:p>
        </w:tc>
      </w:tr>
      <w:tr>
        <w:tc>
          <w:tcPr>
            <w:tcW w:type="dxa" w:w="1080"/>
          </w:tcPr>
          <w:p>
            <w:r>
              <w:rPr>
                <w:rFonts w:ascii="Calibri" w:hAnsi="Calibri"/>
                <w:sz w:val="22"/>
              </w:rPr>
              <w:t>Q1 2025</w:t>
            </w:r>
          </w:p>
        </w:tc>
        <w:tc>
          <w:tcPr>
            <w:tcW w:type="dxa" w:w="1080"/>
          </w:tcPr>
          <w:p>
            <w:r>
              <w:rPr>
                <w:rFonts w:ascii="Calibri" w:hAnsi="Calibri"/>
                <w:sz w:val="22"/>
              </w:rPr>
              <w:t>$1.446B</w:t>
            </w:r>
          </w:p>
        </w:tc>
        <w:tc>
          <w:tcPr>
            <w:tcW w:type="dxa" w:w="1080"/>
          </w:tcPr>
          <w:p>
            <w:r>
              <w:rPr>
                <w:rFonts w:ascii="Calibri" w:hAnsi="Calibri"/>
                <w:sz w:val="22"/>
              </w:rPr>
              <w:t>$1.403B</w:t>
            </w:r>
          </w:p>
        </w:tc>
        <w:tc>
          <w:tcPr>
            <w:tcW w:type="dxa" w:w="1080"/>
          </w:tcPr>
          <w:p>
            <w:r>
              <w:rPr>
                <w:rFonts w:ascii="Calibri" w:hAnsi="Calibri"/>
                <w:b/>
                <w:color w:val="30A46C"/>
                <w:sz w:val="22"/>
              </w:rPr>
              <w:t>+3.1%</w:t>
            </w:r>
          </w:p>
        </w:tc>
        <w:tc>
          <w:tcPr>
            <w:tcW w:type="dxa" w:w="1080"/>
          </w:tcPr>
          <w:p>
            <w:r>
              <w:rPr>
                <w:rFonts w:ascii="Calibri" w:hAnsi="Calibri"/>
                <w:sz w:val="22"/>
              </w:rPr>
              <w:t>$0.55</w:t>
            </w:r>
          </w:p>
        </w:tc>
        <w:tc>
          <w:tcPr>
            <w:tcW w:type="dxa" w:w="1080"/>
          </w:tcPr>
          <w:p>
            <w:r>
              <w:rPr>
                <w:rFonts w:ascii="Calibri" w:hAnsi="Calibri"/>
                <w:sz w:val="22"/>
              </w:rPr>
              <w:t>$0.50</w:t>
            </w:r>
          </w:p>
        </w:tc>
        <w:tc>
          <w:tcPr>
            <w:tcW w:type="dxa" w:w="1080"/>
          </w:tcPr>
          <w:p>
            <w:r>
              <w:rPr>
                <w:rFonts w:ascii="Calibri" w:hAnsi="Calibri"/>
                <w:b/>
                <w:color w:val="30A46C"/>
                <w:sz w:val="22"/>
              </w:rPr>
              <w:t>+10.0%</w:t>
            </w:r>
          </w:p>
        </w:tc>
        <w:tc>
          <w:tcPr>
            <w:tcW w:type="dxa" w:w="1080"/>
          </w:tcPr>
          <w:p>
            <w:r>
              <w:rPr>
                <w:rFonts w:ascii="Calibri" w:hAnsi="Calibri"/>
                <w:sz w:val="22"/>
              </w:rPr>
              <w:t>Beat / Beat</w:t>
            </w:r>
          </w:p>
        </w:tc>
      </w:tr>
      <w:tr>
        <w:tc>
          <w:tcPr>
            <w:tcW w:type="dxa" w:w="1080"/>
          </w:tcPr>
          <w:p>
            <w:r>
              <w:rPr>
                <w:rFonts w:ascii="Calibri" w:hAnsi="Calibri"/>
                <w:sz w:val="22"/>
              </w:rPr>
              <w:t>Q4 2024</w:t>
            </w:r>
          </w:p>
        </w:tc>
        <w:tc>
          <w:tcPr>
            <w:tcW w:type="dxa" w:w="1080"/>
          </w:tcPr>
          <w:p>
            <w:r>
              <w:rPr>
                <w:rFonts w:ascii="Calibri" w:hAnsi="Calibri"/>
                <w:sz w:val="22"/>
              </w:rPr>
              <w:t>$1.723B</w:t>
            </w:r>
          </w:p>
        </w:tc>
        <w:tc>
          <w:tcPr>
            <w:tcW w:type="dxa" w:w="1080"/>
          </w:tcPr>
          <w:p>
            <w:r>
              <w:rPr>
                <w:rFonts w:ascii="Calibri" w:hAnsi="Calibri"/>
                <w:sz w:val="22"/>
              </w:rPr>
              <w:t>$1.755B</w:t>
            </w:r>
          </w:p>
        </w:tc>
        <w:tc>
          <w:tcPr>
            <w:tcW w:type="dxa" w:w="1080"/>
          </w:tcPr>
          <w:p>
            <w:r>
              <w:rPr>
                <w:rFonts w:ascii="Calibri" w:hAnsi="Calibri"/>
                <w:b/>
                <w:color w:val="E5484D"/>
                <w:sz w:val="22"/>
              </w:rPr>
              <w:t>-1.8%</w:t>
            </w:r>
          </w:p>
        </w:tc>
        <w:tc>
          <w:tcPr>
            <w:tcW w:type="dxa" w:w="1080"/>
          </w:tcPr>
          <w:p>
            <w:r>
              <w:rPr>
                <w:rFonts w:ascii="Calibri" w:hAnsi="Calibri"/>
                <w:sz w:val="22"/>
              </w:rPr>
              <w:t>$0.95</w:t>
            </w:r>
          </w:p>
        </w:tc>
        <w:tc>
          <w:tcPr>
            <w:tcW w:type="dxa" w:w="1080"/>
          </w:tcPr>
          <w:p>
            <w:r>
              <w:rPr>
                <w:rFonts w:ascii="Calibri" w:hAnsi="Calibri"/>
                <w:sz w:val="22"/>
              </w:rPr>
              <w:t>$0.97</w:t>
            </w:r>
          </w:p>
        </w:tc>
        <w:tc>
          <w:tcPr>
            <w:tcW w:type="dxa" w:w="1080"/>
          </w:tcPr>
          <w:p>
            <w:r>
              <w:rPr>
                <w:rFonts w:ascii="Calibri" w:hAnsi="Calibri"/>
                <w:b/>
                <w:color w:val="E5484D"/>
                <w:sz w:val="22"/>
              </w:rPr>
              <w:t>-2.1%</w:t>
            </w:r>
          </w:p>
        </w:tc>
        <w:tc>
          <w:tcPr>
            <w:tcW w:type="dxa" w:w="1080"/>
          </w:tcPr>
          <w:p>
            <w:r>
              <w:rPr>
                <w:rFonts w:ascii="Calibri" w:hAnsi="Calibri"/>
                <w:sz w:val="22"/>
              </w:rPr>
              <w:t>Miss / Miss</w:t>
            </w:r>
          </w:p>
        </w:tc>
      </w:tr>
      <w:tr>
        <w:tc>
          <w:tcPr>
            <w:tcW w:type="dxa" w:w="1080"/>
          </w:tcPr>
          <w:p>
            <w:r>
              <w:rPr>
                <w:rFonts w:ascii="Calibri" w:hAnsi="Calibri"/>
                <w:sz w:val="22"/>
              </w:rPr>
              <w:t>Q3 2024</w:t>
            </w:r>
          </w:p>
        </w:tc>
        <w:tc>
          <w:tcPr>
            <w:tcW w:type="dxa" w:w="1080"/>
          </w:tcPr>
          <w:p>
            <w:r>
              <w:rPr>
                <w:rFonts w:ascii="Calibri" w:hAnsi="Calibri"/>
                <w:sz w:val="22"/>
              </w:rPr>
              <w:t>$1.762B</w:t>
            </w:r>
          </w:p>
        </w:tc>
        <w:tc>
          <w:tcPr>
            <w:tcW w:type="dxa" w:w="1080"/>
          </w:tcPr>
          <w:p>
            <w:r>
              <w:rPr>
                <w:rFonts w:ascii="Calibri" w:hAnsi="Calibri"/>
                <w:sz w:val="22"/>
              </w:rPr>
              <w:t>$1.752B</w:t>
            </w:r>
          </w:p>
        </w:tc>
        <w:tc>
          <w:tcPr>
            <w:tcW w:type="dxa" w:w="1080"/>
          </w:tcPr>
          <w:p>
            <w:r>
              <w:rPr>
                <w:rFonts w:ascii="Calibri" w:hAnsi="Calibri"/>
                <w:b/>
                <w:color w:val="30A46C"/>
                <w:sz w:val="22"/>
              </w:rPr>
              <w:t>+0.6%</w:t>
            </w:r>
          </w:p>
        </w:tc>
        <w:tc>
          <w:tcPr>
            <w:tcW w:type="dxa" w:w="1080"/>
          </w:tcPr>
          <w:p>
            <w:r>
              <w:rPr>
                <w:rFonts w:ascii="Calibri" w:hAnsi="Calibri"/>
                <w:sz w:val="22"/>
              </w:rPr>
              <w:t>$0.99</w:t>
            </w:r>
          </w:p>
        </w:tc>
        <w:tc>
          <w:tcPr>
            <w:tcW w:type="dxa" w:w="1080"/>
          </w:tcPr>
          <w:p>
            <w:r>
              <w:rPr>
                <w:rFonts w:ascii="Calibri" w:hAnsi="Calibri"/>
                <w:sz w:val="22"/>
              </w:rPr>
              <w:t>$0.97</w:t>
            </w:r>
          </w:p>
        </w:tc>
        <w:tc>
          <w:tcPr>
            <w:tcW w:type="dxa" w:w="1080"/>
          </w:tcPr>
          <w:p>
            <w:r>
              <w:rPr>
                <w:rFonts w:ascii="Calibri" w:hAnsi="Calibri"/>
                <w:b/>
                <w:color w:val="30A46C"/>
                <w:sz w:val="22"/>
              </w:rPr>
              <w:t>+2.1%</w:t>
            </w:r>
          </w:p>
        </w:tc>
        <w:tc>
          <w:tcPr>
            <w:tcW w:type="dxa" w:w="1080"/>
          </w:tcPr>
          <w:p>
            <w:r>
              <w:rPr>
                <w:rFonts w:ascii="Calibri" w:hAnsi="Calibri"/>
                <w:sz w:val="22"/>
              </w:rPr>
              <w:t>Beat / Beat</w:t>
            </w:r>
          </w:p>
        </w:tc>
      </w:tr>
      <w:tr>
        <w:tc>
          <w:tcPr>
            <w:tcW w:type="dxa" w:w="1080"/>
          </w:tcPr>
          <w:p>
            <w:r>
              <w:rPr>
                <w:rFonts w:ascii="Calibri" w:hAnsi="Calibri"/>
                <w:sz w:val="22"/>
              </w:rPr>
              <w:t>Q2 2024</w:t>
            </w:r>
          </w:p>
        </w:tc>
        <w:tc>
          <w:tcPr>
            <w:tcW w:type="dxa" w:w="1080"/>
          </w:tcPr>
          <w:p>
            <w:r>
              <w:rPr>
                <w:rFonts w:ascii="Calibri" w:hAnsi="Calibri"/>
                <w:sz w:val="22"/>
              </w:rPr>
              <w:t>$1.469B</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Pattern: ON has beaten revenue consensus in 5 of the last 7 reported quarters and beaten EPS in 5 of 7, with the two misses concentrated in the cyclical trough (Q4 2024). The consistent positive surprise cadence — particularly on EPS — suggests the Street has not fully caught up to the company's operational leverage, supporting a modest beat bias heading into Q2 2026.</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formally reiterated and not revised since the Q1 2026 earnings call. The only post-earnings development was the June 25 Synaptics acquisition announcement, which explicitly confirmed that Q2 guidance was unchanged. Tone remains constructive — management's H2 outgrowth commitment and AI data center doubling target are the key forward signals.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 (Q2 2026)</w:t>
            </w:r>
          </w:p>
        </w:tc>
        <w:tc>
          <w:tcPr>
            <w:tcW w:type="dxa" w:w="1728"/>
          </w:tcPr>
          <w:p>
            <w:r>
              <w:rPr>
                <w:rFonts w:ascii="Calibri" w:hAnsi="Calibri"/>
                <w:sz w:val="22"/>
              </w:rPr>
              <w:t>$1.535B – $1.635B (midpoint $1.585B)</w:t>
            </w:r>
          </w:p>
        </w:tc>
        <w:tc>
          <w:tcPr>
            <w:tcW w:type="dxa" w:w="1728"/>
          </w:tcPr>
          <w:p>
            <w:r>
              <w:rPr>
                <w:rFonts w:ascii="Calibri" w:hAnsi="Calibri"/>
                <w:sz w:val="22"/>
              </w:rPr>
              <w:t>—</w:t>
            </w:r>
          </w:p>
        </w:tc>
        <w:tc>
          <w:tcPr>
            <w:tcW w:type="dxa" w:w="1728"/>
          </w:tcPr>
          <w:p>
            <w:r>
              <w:rPr>
                <w:rFonts w:ascii="Calibri" w:hAnsi="Calibri"/>
                <w:sz w:val="22"/>
              </w:rPr>
              <w:t>$1.589B</w:t>
            </w:r>
          </w:p>
        </w:tc>
        <w:tc>
          <w:tcPr>
            <w:tcW w:type="dxa" w:w="1728"/>
          </w:tcPr>
          <w:p>
            <w:r>
              <w:rPr>
                <w:rFonts w:ascii="Calibri" w:hAnsi="Calibri"/>
                <w:sz w:val="22"/>
              </w:rPr>
              <w:t>Reiterated verbatim in June 25 Synaptics 8-K press release; no change.</w:t>
            </w:r>
          </w:p>
        </w:tc>
      </w:tr>
      <w:tr>
        <w:tc>
          <w:tcPr>
            <w:tcW w:type="dxa" w:w="1728"/>
          </w:tcPr>
          <w:p>
            <w:r>
              <w:rPr>
                <w:rFonts w:ascii="Calibri" w:hAnsi="Calibri"/>
                <w:sz w:val="22"/>
              </w:rPr>
              <w:t>Non-GAAP Gross Margin (Q2 2026)</w:t>
            </w:r>
          </w:p>
        </w:tc>
        <w:tc>
          <w:tcPr>
            <w:tcW w:type="dxa" w:w="1728"/>
          </w:tcPr>
          <w:p>
            <w:r>
              <w:rPr>
                <w:rFonts w:ascii="Calibri" w:hAnsi="Calibri"/>
                <w:sz w:val="22"/>
              </w:rPr>
              <w:t>38% – 40% (midpoint 39%), incl. $6M SBC</w:t>
            </w:r>
          </w:p>
        </w:tc>
        <w:tc>
          <w:tcPr>
            <w:tcW w:type="dxa" w:w="1728"/>
          </w:tcPr>
          <w:p>
            <w:r>
              <w:rPr>
                <w:rFonts w:ascii="Calibri" w:hAnsi="Calibri"/>
                <w:sz w:val="22"/>
              </w:rPr>
              <w:t>—</w:t>
            </w:r>
          </w:p>
        </w:tc>
        <w:tc>
          <w:tcPr>
            <w:tcW w:type="dxa" w:w="1728"/>
          </w:tcPr>
          <w:p>
            <w:r>
              <w:rPr>
                <w:rFonts w:ascii="Calibri" w:hAnsi="Calibri"/>
                <w:sz w:val="22"/>
              </w:rPr>
              <w:t>~39.1%</w:t>
            </w:r>
          </w:p>
        </w:tc>
        <w:tc>
          <w:tcPr>
            <w:tcW w:type="dxa" w:w="1728"/>
          </w:tcPr>
          <w:p>
            <w:r>
              <w:rPr>
                <w:rFonts w:ascii="Calibri" w:hAnsi="Calibri"/>
                <w:sz w:val="22"/>
              </w:rPr>
              <w:t>Unchanged. Sequential expansion expected; utilization guided flat to up slightly.</w:t>
            </w:r>
          </w:p>
        </w:tc>
      </w:tr>
      <w:tr>
        <w:tc>
          <w:tcPr>
            <w:tcW w:type="dxa" w:w="1728"/>
          </w:tcPr>
          <w:p>
            <w:r>
              <w:rPr>
                <w:rFonts w:ascii="Calibri" w:hAnsi="Calibri"/>
                <w:sz w:val="22"/>
              </w:rPr>
              <w:t>Non-GAAP EPS (Q2 2026)</w:t>
            </w:r>
          </w:p>
        </w:tc>
        <w:tc>
          <w:tcPr>
            <w:tcW w:type="dxa" w:w="1728"/>
          </w:tcPr>
          <w:p>
            <w:r>
              <w:rPr>
                <w:rFonts w:ascii="Calibri" w:hAnsi="Calibri"/>
                <w:sz w:val="22"/>
              </w:rPr>
              <w:t>$0.65 – $0.77 (midpoint $0.71)</w:t>
            </w:r>
          </w:p>
        </w:tc>
        <w:tc>
          <w:tcPr>
            <w:tcW w:type="dxa" w:w="1728"/>
          </w:tcPr>
          <w:p>
            <w:r>
              <w:rPr>
                <w:rFonts w:ascii="Calibri" w:hAnsi="Calibri"/>
                <w:sz w:val="22"/>
              </w:rPr>
              <w:t>—</w:t>
            </w:r>
          </w:p>
        </w:tc>
        <w:tc>
          <w:tcPr>
            <w:tcW w:type="dxa" w:w="1728"/>
          </w:tcPr>
          <w:p>
            <w:r>
              <w:rPr>
                <w:rFonts w:ascii="Calibri" w:hAnsi="Calibri"/>
                <w:sz w:val="22"/>
              </w:rPr>
              <w:t>$0.71</w:t>
            </w:r>
          </w:p>
        </w:tc>
        <w:tc>
          <w:tcPr>
            <w:tcW w:type="dxa" w:w="1728"/>
          </w:tcPr>
          <w:p>
            <w:r>
              <w:rPr>
                <w:rFonts w:ascii="Calibri" w:hAnsi="Calibri"/>
                <w:sz w:val="22"/>
              </w:rPr>
              <w:t>Unchanged. Diluted share count guided ~394M.</w:t>
            </w:r>
          </w:p>
        </w:tc>
      </w:tr>
      <w:tr>
        <w:tc>
          <w:tcPr>
            <w:tcW w:type="dxa" w:w="1728"/>
          </w:tcPr>
          <w:p>
            <w:r>
              <w:rPr>
                <w:rFonts w:ascii="Calibri" w:hAnsi="Calibri"/>
                <w:sz w:val="22"/>
              </w:rPr>
              <w:t>Non-GAAP OpEx (Q2 2026)</w:t>
            </w:r>
          </w:p>
        </w:tc>
        <w:tc>
          <w:tcPr>
            <w:tcW w:type="dxa" w:w="1728"/>
          </w:tcPr>
          <w:p>
            <w:r>
              <w:rPr>
                <w:rFonts w:ascii="Calibri" w:hAnsi="Calibri"/>
                <w:sz w:val="22"/>
              </w:rPr>
              <w:t>$287M – $302M (incl. $28M SBC)</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w:t>
            </w:r>
          </w:p>
        </w:tc>
      </w:tr>
      <w:tr>
        <w:tc>
          <w:tcPr>
            <w:tcW w:type="dxa" w:w="1728"/>
          </w:tcPr>
          <w:p>
            <w:r>
              <w:rPr>
                <w:rFonts w:ascii="Calibri" w:hAnsi="Calibri"/>
                <w:sz w:val="22"/>
              </w:rPr>
              <w:t>CapEx (Q2 2026)</w:t>
            </w:r>
          </w:p>
        </w:tc>
        <w:tc>
          <w:tcPr>
            <w:tcW w:type="dxa" w:w="1728"/>
          </w:tcPr>
          <w:p>
            <w:r>
              <w:rPr>
                <w:rFonts w:ascii="Calibri" w:hAnsi="Calibri"/>
                <w:sz w:val="22"/>
              </w:rPr>
              <w:t>$25M – $35M</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Reflects continued capital discipline.</w:t>
            </w:r>
          </w:p>
        </w:tc>
      </w:tr>
      <w:tr>
        <w:tc>
          <w:tcPr>
            <w:tcW w:type="dxa" w:w="1728"/>
          </w:tcPr>
          <w:p>
            <w:r>
              <w:rPr>
                <w:rFonts w:ascii="Calibri" w:hAnsi="Calibri"/>
                <w:sz w:val="22"/>
              </w:rPr>
              <w:t>Non-Core Revenue Exits (Q2 2026)</w:t>
            </w:r>
          </w:p>
        </w:tc>
        <w:tc>
          <w:tcPr>
            <w:tcW w:type="dxa" w:w="1728"/>
          </w:tcPr>
          <w:p>
            <w:r>
              <w:rPr>
                <w:rFonts w:ascii="Calibri" w:hAnsi="Calibri"/>
                <w:sz w:val="22"/>
              </w:rPr>
              <w:t>Exit incremental $30M–$40M of non-core revenue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Full exit program (~$300M annualized) on track for end of 2026.</w:t>
            </w:r>
          </w:p>
        </w:tc>
      </w:tr>
      <w:tr>
        <w:tc>
          <w:tcPr>
            <w:tcW w:type="dxa" w:w="1728"/>
          </w:tcPr>
          <w:p>
            <w:r>
              <w:rPr>
                <w:rFonts w:ascii="Calibri" w:hAnsi="Calibri"/>
                <w:sz w:val="22"/>
              </w:rPr>
              <w:t>AI Data Center Revenue (FY 2026)</w:t>
            </w:r>
          </w:p>
        </w:tc>
        <w:tc>
          <w:tcPr>
            <w:tcW w:type="dxa" w:w="1728"/>
          </w:tcPr>
          <w:p>
            <w:r>
              <w:rPr>
                <w:rFonts w:ascii="Calibri" w:hAnsi="Calibri"/>
                <w:sz w:val="22"/>
              </w:rPr>
              <w:t>Doubling year-over-year vs. FY 2025 (upgraded from prior high-teens sequential framing)</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Upgraded on Q1 call after AI DC revenue grew &gt;2x expected sequential rate. No further revision since.</w:t>
            </w:r>
          </w:p>
        </w:tc>
      </w:tr>
      <w:tr>
        <w:tc>
          <w:tcPr>
            <w:tcW w:type="dxa" w:w="1728"/>
          </w:tcPr>
          <w:p>
            <w:r>
              <w:rPr>
                <w:rFonts w:ascii="Calibri" w:hAnsi="Calibri"/>
                <w:sz w:val="22"/>
              </w:rPr>
              <w:t>H2 2026 vs. H1 2026 Revenue</w:t>
            </w:r>
          </w:p>
        </w:tc>
        <w:tc>
          <w:tcPr>
            <w:tcW w:type="dxa" w:w="1728"/>
          </w:tcPr>
          <w:p>
            <w:r>
              <w:rPr>
                <w:rFonts w:ascii="Calibri" w:hAnsi="Calibri"/>
                <w:sz w:val="22"/>
              </w:rPr>
              <w:t>H2 expected to outgrow H1</w:t>
            </w:r>
          </w:p>
        </w:tc>
        <w:tc>
          <w:tcPr>
            <w:tcW w:type="dxa" w:w="1728"/>
          </w:tcPr>
          <w:p>
            <w:r>
              <w:rPr>
                <w:rFonts w:ascii="Calibri" w:hAnsi="Calibri"/>
                <w:sz w:val="22"/>
              </w:rPr>
              <w:t>—</w:t>
            </w:r>
          </w:p>
        </w:tc>
        <w:tc>
          <w:tcPr>
            <w:tcW w:type="dxa" w:w="1728"/>
          </w:tcPr>
          <w:p>
            <w:r>
              <w:rPr>
                <w:rFonts w:ascii="Calibri" w:hAnsi="Calibri"/>
                <w:sz w:val="22"/>
              </w:rPr>
              <w:t>Implied by Q3/Q4 consensus of $1.673B / $1.716B vs. H1 ~$3.10B</w:t>
            </w:r>
          </w:p>
        </w:tc>
        <w:tc>
          <w:tcPr>
            <w:tcW w:type="dxa" w:w="1728"/>
          </w:tcPr>
          <w:p>
            <w:r>
              <w:rPr>
                <w:rFonts w:ascii="Calibri" w:hAnsi="Calibri"/>
                <w:sz w:val="22"/>
              </w:rPr>
              <w:t>Consensus H2 ~$3.39B vs. H1 ~$3.10B — tracking management's commitment.</w:t>
            </w:r>
          </w:p>
        </w:tc>
      </w:tr>
      <w:tr>
        <w:tc>
          <w:tcPr>
            <w:tcW w:type="dxa" w:w="1728"/>
          </w:tcPr>
          <w:p>
            <w:r>
              <w:rPr>
                <w:rFonts w:ascii="Calibri" w:hAnsi="Calibri"/>
                <w:sz w:val="22"/>
              </w:rPr>
              <w:t>Manufacturing Utilization (Q2 2026)</w:t>
            </w:r>
          </w:p>
        </w:tc>
        <w:tc>
          <w:tcPr>
            <w:tcW w:type="dxa" w:w="1728"/>
          </w:tcPr>
          <w:p>
            <w:r>
              <w:rPr>
                <w:rFonts w:ascii="Calibri" w:hAnsi="Calibri"/>
                <w:sz w:val="22"/>
              </w:rPr>
              <w:t>Flat to up slightly vs. Q1's 77%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margin lever; each point of utilization drives ~gross margin expansion 2 quarters later.</w:t>
            </w:r>
          </w:p>
        </w:tc>
      </w:tr>
    </w:tbl>
    <w:p>
      <w:r>
        <w:rPr>
          <w:rFonts w:ascii="Calibri" w:hAnsi="Calibri"/>
          <w:i/>
          <w:color w:val="525866"/>
          <w:sz w:val="22"/>
        </w:rPr>
        <w:t>Source: ON Semiconductor Q1 2026 Earnings Call Transcript (May 4, 2026); ON 8-K / Synaptics Acquisition Press Release (June 25,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revenue consensus for Q2 moved only +$0.1M and EPS only +$0.001 — indicating the Street has anchored tightly to guidance rather than building in incremental upside. For FY 2026, estimates have drifted modestly higher (+$13M revenue, +$11M EPS), consistent with the AI data center upgrade. The gap between consensus and guidance midpoints is narrow, leaving the beat/miss outcome almost entirely dependent on execution.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11, 2026)</w:t>
            </w:r>
          </w:p>
        </w:tc>
        <w:tc>
          <w:tcPr>
            <w:tcW w:type="dxa" w:w="1080"/>
            <w:shd w:val="clear" w:color="auto" w:fill="3B4259"/>
          </w:tcPr>
          <w:p>
            <w:r>
              <w:rPr>
                <w:rFonts w:ascii="Calibri" w:hAnsi="Calibri"/>
                <w:b/>
                <w:color w:val="FFFFFF"/>
                <w:sz w:val="22"/>
              </w:rPr>
              <w:t>Current Consensus (Aug 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4)</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$1,588.4M</w:t>
            </w:r>
          </w:p>
        </w:tc>
        <w:tc>
          <w:tcPr>
            <w:tcW w:type="dxa" w:w="1080"/>
          </w:tcPr>
          <w:p>
            <w:r>
              <w:rPr>
                <w:rFonts w:ascii="Calibri" w:hAnsi="Calibri"/>
                <w:sz w:val="22"/>
              </w:rPr>
              <w:t>$1,589.1M</w:t>
            </w:r>
          </w:p>
        </w:tc>
        <w:tc>
          <w:tcPr>
            <w:tcW w:type="dxa" w:w="1080"/>
          </w:tcPr>
          <w:p>
            <w:r>
              <w:rPr>
                <w:rFonts w:ascii="Calibri" w:hAnsi="Calibri"/>
                <w:sz w:val="22"/>
              </w:rPr>
              <w:t>+0.04%</w:t>
            </w:r>
          </w:p>
        </w:tc>
        <w:tc>
          <w:tcPr>
            <w:tcW w:type="dxa" w:w="1080"/>
          </w:tcPr>
          <w:p>
            <w:r>
              <w:rPr>
                <w:rFonts w:ascii="Calibri" w:hAnsi="Calibri"/>
                <w:sz w:val="22"/>
              </w:rPr>
              <w:t>$1,535M – $1,635M (mid: $1,585M)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midpoint</w:t>
            </w:r>
          </w:p>
        </w:tc>
      </w:tr>
      <w:tr>
        <w:tc>
          <w:tcPr>
            <w:tcW w:type="dxa" w:w="1080"/>
          </w:tcPr>
          <w:p>
            <w:r>
              <w:rPr>
                <w:rFonts w:ascii="Calibri" w:hAnsi="Calibri"/>
                <w:sz w:val="22"/>
              </w:rPr>
              <w:t>Non-GAAP EPS — Q2 2026</w:t>
            </w:r>
          </w:p>
        </w:tc>
        <w:tc>
          <w:tcPr>
            <w:tcW w:type="dxa" w:w="1080"/>
          </w:tcPr>
          <w:p>
            <w:r>
              <w:rPr>
                <w:rFonts w:ascii="Calibri" w:hAnsi="Calibri"/>
                <w:sz w:val="22"/>
              </w:rPr>
              <w:t>$0.714</w:t>
            </w:r>
          </w:p>
        </w:tc>
        <w:tc>
          <w:tcPr>
            <w:tcW w:type="dxa" w:w="1080"/>
          </w:tcPr>
          <w:p>
            <w:r>
              <w:rPr>
                <w:rFonts w:ascii="Calibri" w:hAnsi="Calibri"/>
                <w:sz w:val="22"/>
              </w:rPr>
              <w:t>$0.715</w:t>
            </w:r>
          </w:p>
        </w:tc>
        <w:tc>
          <w:tcPr>
            <w:tcW w:type="dxa" w:w="1080"/>
          </w:tcPr>
          <w:p>
            <w:r>
              <w:rPr>
                <w:rFonts w:ascii="Calibri" w:hAnsi="Calibri"/>
                <w:sz w:val="22"/>
              </w:rPr>
              <w:t>+0.1%</w:t>
            </w:r>
          </w:p>
        </w:tc>
        <w:tc>
          <w:tcPr>
            <w:tcW w:type="dxa" w:w="1080"/>
          </w:tcPr>
          <w:p>
            <w:r>
              <w:rPr>
                <w:rFonts w:ascii="Calibri" w:hAnsi="Calibri"/>
                <w:sz w:val="22"/>
              </w:rPr>
              <w:t>$0.65 – $0.77 (mid: $0.71)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above midpoint</w:t>
            </w:r>
          </w:p>
        </w:tc>
      </w:tr>
      <w:tr>
        <w:tc>
          <w:tcPr>
            <w:tcW w:type="dxa" w:w="1080"/>
          </w:tcPr>
          <w:p>
            <w:r>
              <w:rPr>
                <w:rFonts w:ascii="Calibri" w:hAnsi="Calibri"/>
                <w:sz w:val="22"/>
              </w:rPr>
              <w:t>Non-GAAP Gross Profit — Q2 2026</w:t>
            </w:r>
          </w:p>
        </w:tc>
        <w:tc>
          <w:tcPr>
            <w:tcW w:type="dxa" w:w="1080"/>
          </w:tcPr>
          <w:p>
            <w:r>
              <w:rPr>
                <w:rFonts w:ascii="Calibri" w:hAnsi="Calibri"/>
                <w:sz w:val="22"/>
              </w:rPr>
              <w:t>$621.3M</w:t>
            </w:r>
          </w:p>
        </w:tc>
        <w:tc>
          <w:tcPr>
            <w:tcW w:type="dxa" w:w="1080"/>
          </w:tcPr>
          <w:p>
            <w:r>
              <w:rPr>
                <w:rFonts w:ascii="Calibri" w:hAnsi="Calibri"/>
                <w:sz w:val="22"/>
              </w:rPr>
              <w:t>$621.8M</w:t>
            </w:r>
          </w:p>
        </w:tc>
        <w:tc>
          <w:tcPr>
            <w:tcW w:type="dxa" w:w="1080"/>
          </w:tcPr>
          <w:p>
            <w:r>
              <w:rPr>
                <w:rFonts w:ascii="Calibri" w:hAnsi="Calibri"/>
                <w:sz w:val="22"/>
              </w:rPr>
              <w:t>+0.1%</w:t>
            </w:r>
          </w:p>
        </w:tc>
        <w:tc>
          <w:tcPr>
            <w:tcW w:type="dxa" w:w="1080"/>
          </w:tcPr>
          <w:p>
            <w:r>
              <w:rPr>
                <w:rFonts w:ascii="Calibri" w:hAnsi="Calibri"/>
                <w:sz w:val="22"/>
              </w:rPr>
              <w:t>38%–40% GM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~39.1% implied GM; within range</w:t>
            </w:r>
          </w:p>
        </w:tc>
      </w:tr>
      <w:tr>
        <w:tc>
          <w:tcPr>
            <w:tcW w:type="dxa" w:w="1080"/>
          </w:tcPr>
          <w:p>
            <w:r>
              <w:rPr>
                <w:rFonts w:ascii="Calibri" w:hAnsi="Calibri"/>
                <w:sz w:val="22"/>
              </w:rPr>
              <w:t>Revenue — FY 2026</w:t>
            </w:r>
          </w:p>
        </w:tc>
        <w:tc>
          <w:tcPr>
            <w:tcW w:type="dxa" w:w="1080"/>
          </w:tcPr>
          <w:p>
            <w:r>
              <w:rPr>
                <w:rFonts w:ascii="Calibri" w:hAnsi="Calibri"/>
                <w:sz w:val="22"/>
              </w:rPr>
              <w:t>$6,478.7M</w:t>
            </w:r>
          </w:p>
        </w:tc>
        <w:tc>
          <w:tcPr>
            <w:tcW w:type="dxa" w:w="1080"/>
          </w:tcPr>
          <w:p>
            <w:r>
              <w:rPr>
                <w:rFonts w:ascii="Calibri" w:hAnsi="Calibri"/>
                <w:sz w:val="22"/>
              </w:rPr>
              <w:t>$6,491.8M</w:t>
            </w:r>
          </w:p>
        </w:tc>
        <w:tc>
          <w:tcPr>
            <w:tcW w:type="dxa" w:w="1080"/>
          </w:tcPr>
          <w:p>
            <w:r>
              <w:rPr>
                <w:rFonts w:ascii="Calibri" w:hAnsi="Calibri"/>
                <w:sz w:val="22"/>
              </w:rPr>
              <w:t>+0.2%</w:t>
            </w:r>
          </w:p>
        </w:tc>
        <w:tc>
          <w:tcPr>
            <w:tcW w:type="dxa" w:w="1080"/>
          </w:tcPr>
          <w:p>
            <w:r>
              <w:rPr>
                <w:rFonts w:ascii="Calibri" w:hAnsi="Calibri"/>
                <w:sz w:val="22"/>
              </w:rPr>
              <w:t>H2 to outgrow H1; AI DC to double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management's H2 outgrowth commitment</w:t>
            </w:r>
          </w:p>
        </w:tc>
      </w:tr>
      <w:tr>
        <w:tc>
          <w:tcPr>
            <w:tcW w:type="dxa" w:w="1080"/>
          </w:tcPr>
          <w:p>
            <w:r>
              <w:rPr>
                <w:rFonts w:ascii="Calibri" w:hAnsi="Calibri"/>
                <w:sz w:val="22"/>
              </w:rPr>
              <w:t>Non-GAAP EPS — FY 2026</w:t>
            </w:r>
          </w:p>
        </w:tc>
        <w:tc>
          <w:tcPr>
            <w:tcW w:type="dxa" w:w="1080"/>
          </w:tcPr>
          <w:p>
            <w:r>
              <w:rPr>
                <w:rFonts w:ascii="Calibri" w:hAnsi="Calibri"/>
                <w:sz w:val="22"/>
              </w:rPr>
              <w:t>$3.099</w:t>
            </w:r>
          </w:p>
        </w:tc>
        <w:tc>
          <w:tcPr>
            <w:tcW w:type="dxa" w:w="1080"/>
          </w:tcPr>
          <w:p>
            <w:r>
              <w:rPr>
                <w:rFonts w:ascii="Calibri" w:hAnsi="Calibri"/>
                <w:sz w:val="22"/>
              </w:rPr>
              <w:t>$3.110</w:t>
            </w:r>
          </w:p>
        </w:tc>
        <w:tc>
          <w:tcPr>
            <w:tcW w:type="dxa" w:w="1080"/>
          </w:tcPr>
          <w:p>
            <w:r>
              <w:rPr>
                <w:rFonts w:ascii="Calibri" w:hAnsi="Calibri"/>
                <w:sz w:val="22"/>
              </w:rPr>
              <w:t>+0.4%</w:t>
            </w:r>
          </w:p>
        </w:tc>
        <w:tc>
          <w:tcPr>
            <w:tcW w:type="dxa" w:w="1080"/>
          </w:tcPr>
          <w:p>
            <w:r>
              <w:rPr>
                <w:rFonts w:ascii="Calibri" w:hAnsi="Calibri"/>
                <w:sz w:val="22"/>
              </w:rPr>
              <w:t>N/A — no explicit FY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2027</w:t>
            </w:r>
          </w:p>
        </w:tc>
        <w:tc>
          <w:tcPr>
            <w:tcW w:type="dxa" w:w="1080"/>
          </w:tcPr>
          <w:p>
            <w:r>
              <w:rPr>
                <w:rFonts w:ascii="Calibri" w:hAnsi="Calibri"/>
                <w:sz w:val="22"/>
              </w:rPr>
              <w:t>$7,186.2M</w:t>
            </w:r>
          </w:p>
        </w:tc>
        <w:tc>
          <w:tcPr>
            <w:tcW w:type="dxa" w:w="1080"/>
          </w:tcPr>
          <w:p>
            <w:r>
              <w:rPr>
                <w:rFonts w:ascii="Calibri" w:hAnsi="Calibri"/>
                <w:sz w:val="22"/>
              </w:rPr>
              <w:t>$7,223.6M</w:t>
            </w:r>
          </w:p>
        </w:tc>
        <w:tc>
          <w:tcPr>
            <w:tcW w:type="dxa" w:w="1080"/>
          </w:tcPr>
          <w:p>
            <w:r>
              <w:rPr>
                <w:rFonts w:ascii="Calibri" w:hAnsi="Calibri"/>
                <w:sz w:val="22"/>
              </w:rPr>
              <w:t>+0.5%</w:t>
            </w:r>
          </w:p>
        </w:tc>
        <w:tc>
          <w:tcPr>
            <w:tcW w:type="dxa" w:w="1080"/>
          </w:tcPr>
          <w:p>
            <w:r>
              <w:rPr>
                <w:rFonts w:ascii="Calibri" w:hAnsi="Calibri"/>
                <w:sz w:val="22"/>
              </w:rPr>
              <w:t>N/A — no FY 2027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 2027</w:t>
            </w:r>
          </w:p>
        </w:tc>
        <w:tc>
          <w:tcPr>
            <w:tcW w:type="dxa" w:w="1080"/>
          </w:tcPr>
          <w:p>
            <w:r>
              <w:rPr>
                <w:rFonts w:ascii="Calibri" w:hAnsi="Calibri"/>
                <w:sz w:val="22"/>
              </w:rPr>
              <w:t>$4.256</w:t>
            </w:r>
          </w:p>
        </w:tc>
        <w:tc>
          <w:tcPr>
            <w:tcW w:type="dxa" w:w="1080"/>
          </w:tcPr>
          <w:p>
            <w:r>
              <w:rPr>
                <w:rFonts w:ascii="Calibri" w:hAnsi="Calibri"/>
                <w:sz w:val="22"/>
              </w:rPr>
              <w:t>$4.284</w:t>
            </w:r>
          </w:p>
        </w:tc>
        <w:tc>
          <w:tcPr>
            <w:tcW w:type="dxa" w:w="1080"/>
          </w:tcPr>
          <w:p>
            <w:r>
              <w:rPr>
                <w:rFonts w:ascii="Calibri" w:hAnsi="Calibri"/>
                <w:sz w:val="22"/>
              </w:rPr>
              <w:t>+0.7%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(revision history table, weekly frequency, May 8 – Aug 2, 2026). </w:t>
      </w:r>
      <w:r>
        <w:rPr>
          <w:rFonts w:ascii="Calibri" w:hAnsi="Calibri"/>
          <w:i/>
          <w:color w:val="525866"/>
          <w:sz w:val="22"/>
        </w:rPr>
        <w:t>Post-earnings baseline taken as of May 11, 2026 (approximately 5 trading days after the May 4 Q1 2026 earnings release). Current consensus as of August 2, 2026.</w:t>
      </w:r>
    </w:p>
    <w:p>
      <w:r>
        <w:rPr>
          <w:rFonts w:ascii="Calibri" w:hAnsi="Calibri"/>
          <w:b/>
          <w:color w:val="525866"/>
          <w:sz w:val="22"/>
        </w:rPr>
        <w:t xml:space="preserve">Commentary: </w:t>
      </w:r>
      <w:r>
        <w:rPr>
          <w:rFonts w:ascii="Calibri" w:hAnsi="Calibri"/>
          <w:color w:val="525866"/>
          <w:sz w:val="22"/>
        </w:rPr>
        <w:t>The near-zero estimate drift since the Q1 print is notable — it tells us the Street has essentially treated guidance as the ceiling rather than the floor. Given ON's consistent history of beating consensus (5 of last 7 quarters on revenue, 5 of 7 on EPS), and the fact that AI data center revenue has been dramatically outpacing internal expectations, the risk/reward on estimates appears skewed to the upside if the AI data center trajectory holds. The FY 2027 EPS estimate of $4.28 implies ~38% growth from FY 2026, which would require meaningful utilization recovery and operating leverage — a scenario management has explicitly endorsed but the Street has not yet aggressively priced in.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ON's post-Q1 rally (+31% peak-to-trough from earnings to early June) was driven almost entirely by multiple expansion on AI data center enthusiasm, not estimate revisions. The subsequent -39% drawdown from the June peak to July 31 was driven by multiple compression — the Synaptics all-stock deal announcement on June 25 was the single largest catalyst, causing a ~24% single-day drop — with the stock now trading at 22x NTM P/E vs. a 30x peak, suggesting the deal overhang has reset the multiple to a more defensible level.</w:t>
      </w:r>
    </w:p>
    <w:p>
      <w:r>
        <w:rPr>
          <w:rFonts w:ascii="Calibri" w:hAnsi="Calibri"/>
          <w:b/>
          <w:color w:val="525866"/>
          <w:sz w:val="22"/>
        </w:rPr>
        <w:t>Indexed Performance Since Q1 2026 Earnings (May 4, 2026 = 100):</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Date / Event</w:t>
            </w:r>
          </w:p>
        </w:tc>
        <w:tc>
          <w:tcPr>
            <w:tcW w:type="dxa" w:w="1440"/>
            <w:shd w:val="clear" w:color="auto" w:fill="3B4259"/>
          </w:tcPr>
          <w:p>
            <w:r>
              <w:rPr>
                <w:rFonts w:ascii="Calibri" w:hAnsi="Calibri"/>
                <w:b/>
                <w:color w:val="FFFFFF"/>
                <w:sz w:val="22"/>
              </w:rPr>
              <w:t>ON Price</w:t>
            </w:r>
          </w:p>
        </w:tc>
        <w:tc>
          <w:tcPr>
            <w:tcW w:type="dxa" w:w="1440"/>
            <w:shd w:val="clear" w:color="auto" w:fill="3B4259"/>
          </w:tcPr>
          <w:p>
            <w:r>
              <w:rPr>
                <w:rFonts w:ascii="Calibri" w:hAnsi="Calibri"/>
                <w:b/>
                <w:color w:val="FFFFFF"/>
                <w:sz w:val="22"/>
              </w:rPr>
              <w:t>ON Indexed</w:t>
            </w:r>
          </w:p>
        </w:tc>
        <w:tc>
          <w:tcPr>
            <w:tcW w:type="dxa" w:w="1440"/>
            <w:shd w:val="clear" w:color="auto" w:fill="3B4259"/>
          </w:tcPr>
          <w:p>
            <w:r>
              <w:rPr>
                <w:rFonts w:ascii="Calibri" w:hAnsi="Calibri"/>
                <w:b/>
                <w:color w:val="FFFFFF"/>
                <w:sz w:val="22"/>
              </w:rPr>
              <w:t>SOXX Indexed</w:t>
            </w:r>
          </w:p>
        </w:tc>
        <w:tc>
          <w:tcPr>
            <w:tcW w:type="dxa" w:w="1440"/>
            <w:shd w:val="clear" w:color="auto" w:fill="3B4259"/>
          </w:tcPr>
          <w:p>
            <w:r>
              <w:rPr>
                <w:rFonts w:ascii="Calibri" w:hAnsi="Calibri"/>
                <w:b/>
                <w:color w:val="FFFFFF"/>
                <w:sz w:val="22"/>
              </w:rPr>
              <w:t>SPY Indexed</w:t>
            </w:r>
          </w:p>
        </w:tc>
        <w:tc>
          <w:tcPr>
            <w:tcW w:type="dxa" w:w="1440"/>
            <w:shd w:val="clear" w:color="auto" w:fill="3B4259"/>
          </w:tcPr>
          <w:p>
            <w:r>
              <w:rPr>
                <w:rFonts w:ascii="Calibri" w:hAnsi="Calibri"/>
                <w:b/>
                <w:color w:val="FFFFFF"/>
                <w:sz w:val="22"/>
              </w:rPr>
              <w:t>Key Event</w:t>
            </w:r>
          </w:p>
        </w:tc>
      </w:tr>
      <w:tr>
        <w:tc>
          <w:tcPr>
            <w:tcW w:type="dxa" w:w="1440"/>
          </w:tcPr>
          <w:p>
            <w:r>
              <w:rPr>
                <w:rFonts w:ascii="Calibri" w:hAnsi="Calibri"/>
                <w:sz w:val="22"/>
              </w:rPr>
              <w:t>May 4, 2026 (Q1 Earnings)</w:t>
            </w:r>
          </w:p>
        </w:tc>
        <w:tc>
          <w:tcPr>
            <w:tcW w:type="dxa" w:w="1440"/>
          </w:tcPr>
          <w:p>
            <w:r>
              <w:rPr>
                <w:rFonts w:ascii="Calibri" w:hAnsi="Calibri"/>
                <w:sz w:val="22"/>
              </w:rPr>
              <w:t>$102.04</w:t>
            </w:r>
          </w:p>
        </w:tc>
        <w:tc>
          <w:tcPr>
            <w:tcW w:type="dxa" w:w="1440"/>
          </w:tcPr>
          <w:p>
            <w:r>
              <w:rPr>
                <w:rFonts w:ascii="Calibri" w:hAnsi="Calibri"/>
                <w:sz w:val="22"/>
              </w:rPr>
              <w:t>100</w:t>
            </w:r>
          </w:p>
        </w:tc>
        <w:tc>
          <w:tcPr>
            <w:tcW w:type="dxa" w:w="1440"/>
          </w:tcPr>
          <w:p>
            <w:r>
              <w:rPr>
                <w:rFonts w:ascii="Calibri" w:hAnsi="Calibri"/>
                <w:sz w:val="22"/>
              </w:rPr>
              <w:t>100</w:t>
            </w:r>
          </w:p>
        </w:tc>
        <w:tc>
          <w:tcPr>
            <w:tcW w:type="dxa" w:w="1440"/>
          </w:tcPr>
          <w:p>
            <w:r>
              <w:rPr>
                <w:rFonts w:ascii="Calibri" w:hAnsi="Calibri"/>
                <w:sz w:val="22"/>
              </w:rPr>
              <w:t>100</w:t>
            </w:r>
          </w:p>
        </w:tc>
        <w:tc>
          <w:tcPr>
            <w:tcW w:type="dxa" w:w="1440"/>
          </w:tcPr>
          <w:p>
            <w:r>
              <w:rPr>
                <w:rFonts w:ascii="Calibri" w:hAnsi="Calibri"/>
                <w:sz w:val="22"/>
              </w:rPr>
              <w:t>Q1 2026 earnings beat; AI DC outlook upgraded</w:t>
            </w:r>
          </w:p>
        </w:tc>
      </w:tr>
      <w:tr>
        <w:tc>
          <w:tcPr>
            <w:tcW w:type="dxa" w:w="1440"/>
          </w:tcPr>
          <w:p>
            <w:r>
              <w:rPr>
                <w:rFonts w:ascii="Calibri" w:hAnsi="Calibri"/>
                <w:sz w:val="22"/>
              </w:rPr>
              <w:t>May 11, 2026</w:t>
            </w:r>
          </w:p>
        </w:tc>
        <w:tc>
          <w:tcPr>
            <w:tcW w:type="dxa" w:w="1440"/>
          </w:tcPr>
          <w:p>
            <w:r>
              <w:rPr>
                <w:rFonts w:ascii="Calibri" w:hAnsi="Calibri"/>
                <w:sz w:val="22"/>
              </w:rPr>
              <w:t>$107.24</w:t>
            </w:r>
          </w:p>
        </w:tc>
        <w:tc>
          <w:tcPr>
            <w:tcW w:type="dxa" w:w="1440"/>
          </w:tcPr>
          <w:p>
            <w:r>
              <w:rPr>
                <w:rFonts w:ascii="Calibri" w:hAnsi="Calibri"/>
                <w:sz w:val="22"/>
              </w:rPr>
              <w:t>105</w:t>
            </w:r>
          </w:p>
        </w:tc>
        <w:tc>
          <w:tcPr>
            <w:tcW w:type="dxa" w:w="1440"/>
          </w:tcPr>
          <w:p>
            <w:r>
              <w:rPr>
                <w:rFonts w:ascii="Calibri" w:hAnsi="Calibri"/>
                <w:sz w:val="22"/>
              </w:rPr>
              <w:t>115</w:t>
            </w:r>
          </w:p>
        </w:tc>
        <w:tc>
          <w:tcPr>
            <w:tcW w:type="dxa" w:w="1440"/>
          </w:tcPr>
          <w:p>
            <w:r>
              <w:rPr>
                <w:rFonts w:ascii="Calibri" w:hAnsi="Calibri"/>
                <w:sz w:val="22"/>
              </w:rPr>
              <w:t>103</w:t>
            </w:r>
          </w:p>
        </w:tc>
        <w:tc>
          <w:tcPr>
            <w:tcW w:type="dxa" w:w="1440"/>
          </w:tcPr>
          <w:p>
            <w:r>
              <w:rPr>
                <w:rFonts w:ascii="Calibri" w:hAnsi="Calibri"/>
                <w:sz w:val="22"/>
              </w:rPr>
              <w:t>$1.5B convertible notes offering completed; $332M buyback</w:t>
            </w:r>
          </w:p>
        </w:tc>
      </w:tr>
      <w:tr>
        <w:tc>
          <w:tcPr>
            <w:tcW w:type="dxa" w:w="1440"/>
          </w:tcPr>
          <w:p>
            <w:r>
              <w:rPr>
                <w:rFonts w:ascii="Calibri" w:hAnsi="Calibri"/>
                <w:sz w:val="22"/>
              </w:rPr>
              <w:t>May 26, 2026 (Peak)</w:t>
            </w:r>
          </w:p>
        </w:tc>
        <w:tc>
          <w:tcPr>
            <w:tcW w:type="dxa" w:w="1440"/>
          </w:tcPr>
          <w:p>
            <w:r>
              <w:rPr>
                <w:rFonts w:ascii="Calibri" w:hAnsi="Calibri"/>
                <w:sz w:val="22"/>
              </w:rPr>
              <w:t>$127.00</w:t>
            </w:r>
          </w:p>
        </w:tc>
        <w:tc>
          <w:tcPr>
            <w:tcW w:type="dxa" w:w="1440"/>
          </w:tcPr>
          <w:p>
            <w:r>
              <w:rPr>
                <w:rFonts w:ascii="Calibri" w:hAnsi="Calibri"/>
                <w:sz w:val="22"/>
              </w:rPr>
              <w:t>124</w:t>
            </w:r>
          </w:p>
        </w:tc>
        <w:tc>
          <w:tcPr>
            <w:tcW w:type="dxa" w:w="1440"/>
          </w:tcPr>
          <w:p>
            <w:r>
              <w:rPr>
                <w:rFonts w:ascii="Calibri" w:hAnsi="Calibri"/>
                <w:sz w:val="22"/>
              </w:rPr>
              <w:t>123</w:t>
            </w:r>
          </w:p>
        </w:tc>
        <w:tc>
          <w:tcPr>
            <w:tcW w:type="dxa" w:w="1440"/>
          </w:tcPr>
          <w:p>
            <w:r>
              <w:rPr>
                <w:rFonts w:ascii="Calibri" w:hAnsi="Calibri"/>
                <w:sz w:val="22"/>
              </w:rPr>
              <w:t>105</w:t>
            </w:r>
          </w:p>
        </w:tc>
        <w:tc>
          <w:tcPr>
            <w:tcW w:type="dxa" w:w="1440"/>
          </w:tcPr>
          <w:p>
            <w:r>
              <w:rPr>
                <w:rFonts w:ascii="Calibri" w:hAnsi="Calibri"/>
                <w:sz w:val="22"/>
              </w:rPr>
              <w:t>Post-earnings rally peak; AI data center enthusiasm</w:t>
            </w:r>
          </w:p>
        </w:tc>
      </w:tr>
      <w:tr>
        <w:tc>
          <w:tcPr>
            <w:tcW w:type="dxa" w:w="1440"/>
          </w:tcPr>
          <w:p>
            <w:r>
              <w:rPr>
                <w:rFonts w:ascii="Calibri" w:hAnsi="Calibri"/>
                <w:sz w:val="22"/>
              </w:rPr>
              <w:t>Jun 3, 2026</w:t>
            </w:r>
          </w:p>
        </w:tc>
        <w:tc>
          <w:tcPr>
            <w:tcW w:type="dxa" w:w="1440"/>
          </w:tcPr>
          <w:p>
            <w:r>
              <w:rPr>
                <w:rFonts w:ascii="Calibri" w:hAnsi="Calibri"/>
                <w:sz w:val="22"/>
              </w:rPr>
              <w:t>$133.93</w:t>
            </w:r>
          </w:p>
        </w:tc>
        <w:tc>
          <w:tcPr>
            <w:tcW w:type="dxa" w:w="1440"/>
          </w:tcPr>
          <w:p>
            <w:r>
              <w:rPr>
                <w:rFonts w:ascii="Calibri" w:hAnsi="Calibri"/>
                <w:sz w:val="22"/>
              </w:rPr>
              <w:t>131</w:t>
            </w:r>
          </w:p>
        </w:tc>
        <w:tc>
          <w:tcPr>
            <w:tcW w:type="dxa" w:w="1440"/>
          </w:tcPr>
          <w:p>
            <w:r>
              <w:rPr>
                <w:rFonts w:ascii="Calibri" w:hAnsi="Calibri"/>
                <w:sz w:val="22"/>
              </w:rPr>
              <w:t>133</w:t>
            </w:r>
          </w:p>
        </w:tc>
        <w:tc>
          <w:tcPr>
            <w:tcW w:type="dxa" w:w="1440"/>
          </w:tcPr>
          <w:p>
            <w:r>
              <w:rPr>
                <w:rFonts w:ascii="Calibri" w:hAnsi="Calibri"/>
                <w:sz w:val="22"/>
              </w:rPr>
              <w:t>105</w:t>
            </w:r>
          </w:p>
        </w:tc>
        <w:tc>
          <w:tcPr>
            <w:tcW w:type="dxa" w:w="1440"/>
          </w:tcPr>
          <w:p>
            <w:r>
              <w:rPr>
                <w:rFonts w:ascii="Calibri" w:hAnsi="Calibri"/>
                <w:sz w:val="22"/>
              </w:rPr>
              <w:t>All-time post-earnings high</w:t>
            </w:r>
          </w:p>
        </w:tc>
      </w:tr>
      <w:tr>
        <w:tc>
          <w:tcPr>
            <w:tcW w:type="dxa" w:w="1440"/>
          </w:tcPr>
          <w:p>
            <w:r>
              <w:rPr>
                <w:rFonts w:ascii="Calibri" w:hAnsi="Calibri"/>
                <w:sz w:val="22"/>
              </w:rPr>
              <w:t>Jun 25, 2026</w:t>
            </w:r>
          </w:p>
        </w:tc>
        <w:tc>
          <w:tcPr>
            <w:tcW w:type="dxa" w:w="1440"/>
          </w:tcPr>
          <w:p>
            <w:r>
              <w:rPr>
                <w:rFonts w:ascii="Calibri" w:hAnsi="Calibri"/>
                <w:sz w:val="22"/>
              </w:rPr>
              <w:t>$118.74 → $90.65</w:t>
            </w:r>
          </w:p>
        </w:tc>
        <w:tc>
          <w:tcPr>
            <w:tcW w:type="dxa" w:w="1440"/>
          </w:tcPr>
          <w:p>
            <w:r>
              <w:rPr>
                <w:rFonts w:ascii="Calibri" w:hAnsi="Calibri"/>
                <w:sz w:val="22"/>
              </w:rPr>
              <w:t>89 (post-deal)</w:t>
            </w:r>
          </w:p>
        </w:tc>
        <w:tc>
          <w:tcPr>
            <w:tcW w:type="dxa" w:w="1440"/>
          </w:tcPr>
          <w:p>
            <w:r>
              <w:rPr>
                <w:rFonts w:ascii="Calibri" w:hAnsi="Calibri"/>
                <w:sz w:val="22"/>
              </w:rPr>
              <w:t>128</w:t>
            </w:r>
          </w:p>
        </w:tc>
        <w:tc>
          <w:tcPr>
            <w:tcW w:type="dxa" w:w="1440"/>
          </w:tcPr>
          <w:p>
            <w:r>
              <w:rPr>
                <w:rFonts w:ascii="Calibri" w:hAnsi="Calibri"/>
                <w:sz w:val="22"/>
              </w:rPr>
              <w:t>102</w:t>
            </w:r>
          </w:p>
        </w:tc>
        <w:tc>
          <w:tcPr>
            <w:tcW w:type="dxa" w:w="1440"/>
          </w:tcPr>
          <w:p>
            <w:r>
              <w:rPr>
                <w:rFonts w:ascii="Calibri" w:hAnsi="Calibri"/>
                <w:sz w:val="22"/>
              </w:rPr>
              <w:t>Synaptics all-stock acquisition announced; ~24% single-day drop</w:t>
            </w:r>
          </w:p>
        </w:tc>
      </w:tr>
      <w:tr>
        <w:tc>
          <w:tcPr>
            <w:tcW w:type="dxa" w:w="1440"/>
          </w:tcPr>
          <w:p>
            <w:r>
              <w:rPr>
                <w:rFonts w:ascii="Calibri" w:hAnsi="Calibri"/>
                <w:sz w:val="22"/>
              </w:rPr>
              <w:t>Jun 30, 2026</w:t>
            </w:r>
          </w:p>
        </w:tc>
        <w:tc>
          <w:tcPr>
            <w:tcW w:type="dxa" w:w="1440"/>
          </w:tcPr>
          <w:p>
            <w:r>
              <w:rPr>
                <w:rFonts w:ascii="Calibri" w:hAnsi="Calibri"/>
                <w:sz w:val="22"/>
              </w:rPr>
              <w:t>$94.54</w:t>
            </w:r>
          </w:p>
        </w:tc>
        <w:tc>
          <w:tcPr>
            <w:tcW w:type="dxa" w:w="1440"/>
          </w:tcPr>
          <w:p>
            <w:r>
              <w:rPr>
                <w:rFonts w:ascii="Calibri" w:hAnsi="Calibri"/>
                <w:sz w:val="22"/>
              </w:rPr>
              <w:t>93</w:t>
            </w:r>
          </w:p>
        </w:tc>
        <w:tc>
          <w:tcPr>
            <w:tcW w:type="dxa" w:w="1440"/>
          </w:tcPr>
          <w:p>
            <w:r>
              <w:rPr>
                <w:rFonts w:ascii="Calibri" w:hAnsi="Calibri"/>
                <w:sz w:val="22"/>
              </w:rPr>
              <w:t>139</w:t>
            </w:r>
          </w:p>
        </w:tc>
        <w:tc>
          <w:tcPr>
            <w:tcW w:type="dxa" w:w="1440"/>
          </w:tcPr>
          <w:p>
            <w:r>
              <w:rPr>
                <w:rFonts w:ascii="Calibri" w:hAnsi="Calibri"/>
                <w:sz w:val="22"/>
              </w:rPr>
              <w:t>104</w:t>
            </w:r>
          </w:p>
        </w:tc>
        <w:tc>
          <w:tcPr>
            <w:tcW w:type="dxa" w:w="1440"/>
          </w:tcPr>
          <w:p>
            <w:r>
              <w:rPr>
                <w:rFonts w:ascii="Calibri" w:hAnsi="Calibri"/>
                <w:sz w:val="22"/>
              </w:rPr>
              <w:t>Quarter-end; ON significantly underperforming SOXX</w:t>
            </w:r>
          </w:p>
        </w:tc>
      </w:tr>
      <w:tr>
        <w:tc>
          <w:tcPr>
            <w:tcW w:type="dxa" w:w="1440"/>
          </w:tcPr>
          <w:p>
            <w:r>
              <w:rPr>
                <w:rFonts w:ascii="Calibri" w:hAnsi="Calibri"/>
                <w:sz w:val="22"/>
              </w:rPr>
              <w:t>Jul 31, 2026 (Latest)</w:t>
            </w:r>
          </w:p>
        </w:tc>
        <w:tc>
          <w:tcPr>
            <w:tcW w:type="dxa" w:w="1440"/>
          </w:tcPr>
          <w:p>
            <w:r>
              <w:rPr>
                <w:rFonts w:ascii="Calibri" w:hAnsi="Calibri"/>
                <w:sz w:val="22"/>
              </w:rPr>
              <w:t>$81.63</w:t>
            </w:r>
          </w:p>
        </w:tc>
        <w:tc>
          <w:tcPr>
            <w:tcW w:type="dxa" w:w="1440"/>
          </w:tcPr>
          <w:p>
            <w:r>
              <w:rPr>
                <w:rFonts w:ascii="Calibri" w:hAnsi="Calibri"/>
                <w:sz w:val="22"/>
              </w:rPr>
              <w:t>80</w:t>
            </w:r>
          </w:p>
        </w:tc>
        <w:tc>
          <w:tcPr>
            <w:tcW w:type="dxa" w:w="1440"/>
          </w:tcPr>
          <w:p>
            <w:r>
              <w:rPr>
                <w:rFonts w:ascii="Calibri" w:hAnsi="Calibri"/>
                <w:sz w:val="22"/>
              </w:rPr>
              <w:t>109</w:t>
            </w:r>
          </w:p>
        </w:tc>
        <w:tc>
          <w:tcPr>
            <w:tcW w:type="dxa" w:w="1440"/>
          </w:tcPr>
          <w:p>
            <w:r>
              <w:rPr>
                <w:rFonts w:ascii="Calibri" w:hAnsi="Calibri"/>
                <w:sz w:val="22"/>
              </w:rPr>
              <w:t>104</w:t>
            </w:r>
          </w:p>
        </w:tc>
        <w:tc>
          <w:tcPr>
            <w:tcW w:type="dxa" w:w="1440"/>
          </w:tcPr>
          <w:p>
            <w:r>
              <w:rPr>
                <w:rFonts w:ascii="Calibri" w:hAnsi="Calibri"/>
                <w:sz w:val="22"/>
              </w:rPr>
              <w:t>Pre-earnings; ON -20% vs. earnings date; SOXX +9%; SPY +4%</w:t>
            </w:r>
          </w:p>
        </w:tc>
      </w:tr>
    </w:tbl>
    <w:p>
      <w:r>
        <w:rPr>
          <w:rFonts w:ascii="Calibri" w:hAnsi="Calibri"/>
          <w:i/>
          <w:color w:val="525866"/>
          <w:sz w:val="22"/>
        </w:rPr>
        <w:t xml:space="preserve">Source: Stock Price Data (Yahoo Finance). </w:t>
      </w:r>
      <w:r>
        <w:rPr>
          <w:rFonts w:ascii="Calibri" w:hAnsi="Calibri"/>
          <w:i/>
          <w:color w:val="525866"/>
          <w:sz w:val="22"/>
        </w:rPr>
        <w:t>Sector ETF: SOXX (iShares Semiconductor ETF) — appropriate for ON's power/analog semiconductor sub-sector. Indexed to 100 at May 4, 2026 (Q1 2026 earnings date). ON's -20% since earnings vs. SOXX +9% and SPY +4% represents ~29 percentage points of underperformance, almost entirely attributable to the Synaptics deal announcement on June 25.</w:t>
      </w:r>
    </w:p>
    <w:p>
      <w:r>
        <w:rPr>
          <w:rFonts w:ascii="Calibri" w:hAnsi="Calibri"/>
          <w:b/>
          <w:color w:val="525866"/>
          <w:sz w:val="22"/>
        </w:rPr>
        <w:t xml:space="preserve">Valuation Context: </w:t>
      </w:r>
      <w:r>
        <w:rPr>
          <w:rFonts w:ascii="Calibri" w:hAnsi="Calibri"/>
          <w:color w:val="525866"/>
          <w:sz w:val="22"/>
        </w:rPr>
        <w:t>ON currently trades at 22.1x NTM P/E and 13.1x NTM EV/EBITDA (as of July 31, 2026). The 3-month EV/EBITDA multiple has compressed from ~18.3x to 13.1x (-28.6%), almost entirely driven by the Synaptics deal overhang rather than estimate cuts. The 12-month P/E has expanded modestly (+5.6%), reflecting the underlying earnings recovery story. At current levels, the stock appears to have de-rated to a more defensible multiple, though deal uncertainty may cap near-term re-rating.</w:t>
      </w:r>
    </w:p>
    <w:p>
      <w:r>
        <w:br w:type="page"/>
      </w:r>
    </w:p>
    <w:p>
      <w:pPr>
        <w:pStyle w:val="Heading2"/>
      </w:pPr>
      <w:r>
        <w:rPr>
          <w:rFonts w:ascii="Calibri" w:hAnsi="Calibri"/>
          <w:b/>
          <w:color w:val="3B4259"/>
          <w:sz w:val="28"/>
        </w:rPr>
        <w:t>6. Peer Commentaries — Current-Quarter Read-Through</w:t>
      </w:r>
    </w:p>
    <w:p>
      <w:r>
        <w:rPr>
          <w:rFonts w:ascii="Calibri" w:hAnsi="Calibri"/>
          <w:b/>
          <w:color w:val="525866"/>
          <w:sz w:val="22"/>
        </w:rPr>
        <w:t xml:space="preserve">Key Takeaway: </w:t>
      </w:r>
      <w:r>
        <w:rPr>
          <w:rFonts w:ascii="Calibri" w:hAnsi="Calibri"/>
          <w:color w:val="525866"/>
          <w:sz w:val="22"/>
        </w:rPr>
        <w:t xml:space="preserve">All three peers that reported Q2 2026 results in the last 60 days (TXN, STM, NXPI) provided forward guidance for their Q3 2026 quarter — the same calendar period as ON's Q2 2026 — and the read-through is </w:t>
      </w:r>
      <w:r>
        <w:rPr>
          <w:rFonts w:ascii="Calibri" w:hAnsi="Calibri"/>
          <w:b/>
          <w:color w:val="30A46C"/>
          <w:sz w:val="22"/>
        </w:rPr>
        <w:t>uniformly positive</w:t>
      </w:r>
      <w:r>
        <w:rPr>
          <w:rFonts w:ascii="Calibri" w:hAnsi="Calibri"/>
          <w:color w:val="525866"/>
          <w:sz w:val="22"/>
        </w:rPr>
        <w:t xml:space="preserve"> across automotive, industrial, AI data center, and SiC. Demand is accelerating broadly, lead times are extending, book-to-bill ratios are above 1.0 across the group, and pricing power is emerging. The only nuance is that STM's Q3 revenue guidance missed Street expectations, suggesting elevated expectations can still punish even when fundamentals are strong — a risk ON faces given its own stock's recent run.</w:t>
      </w:r>
    </w:p>
    <w:p>
      <w:r>
        <w:rPr>
          <w:rFonts w:ascii="Calibri" w:hAnsi="Calibri"/>
          <w:b/>
          <w:i/>
          <w:color w:val="525866"/>
          <w:sz w:val="22"/>
        </w:rPr>
        <w:t xml:space="preserve">Methodology Note: </w:t>
      </w:r>
      <w:r>
        <w:rPr>
          <w:rFonts w:ascii="Calibri" w:hAnsi="Calibri"/>
          <w:i/>
          <w:color w:val="525866"/>
          <w:sz w:val="22"/>
        </w:rPr>
        <w:t>Only forward-looking commentary from each peer's Q2 2026 earnings call (July 2026) addressing their Q3 2026 outlook is included below. Retrospective Q2 2026 results commentary is excluded. All three peers (TXN, STM, NXPI) report on a calendar quarter basis, so their Q3 2026 guidance covers the same July–September 2026 period that ON's Q2 2026 covers (April–June 2026). The read-through is therefore directly applicable to ON's current reporting quarter.</w:t>
      </w:r>
    </w:p>
    <w:p>
      <w:pPr>
        <w:pStyle w:val="Heading3"/>
      </w:pPr>
      <w:r>
        <w:rPr>
          <w:rFonts w:ascii="Calibri" w:hAnsi="Calibri"/>
          <w:b/>
          <w:color w:val="3B4259"/>
          <w:sz w:val="24"/>
        </w:rPr>
        <w:t>6.1 Texas Instruments (TXN) — Q2 2026 Earnings Call, July 22, 2026</w:t>
      </w:r>
    </w:p>
    <w:p>
      <w:r>
        <w:rPr>
          <w:rFonts w:ascii="Calibri" w:hAnsi="Calibri"/>
          <w:b/>
          <w:color w:val="525866"/>
          <w:sz w:val="22"/>
        </w:rPr>
        <w:t xml:space="preserve">Q3 2026 Guidance: </w:t>
      </w:r>
      <w:r>
        <w:rPr>
          <w:rFonts w:ascii="Calibri" w:hAnsi="Calibri"/>
          <w:color w:val="525866"/>
          <w:sz w:val="22"/>
        </w:rPr>
        <w:t>Revenue $5.65B–$6.15B (midpoint $5.90B, +23% YoY); EPS $2.23–$2.57 (midpoint $2.40, vs. Street $2.17). Gross margin fall-through of 70–85% ex-depreciation. Tax rate ~13%.</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TXN Q3 2026 Forward Commentary</w:t>
            </w:r>
          </w:p>
        </w:tc>
        <w:tc>
          <w:tcPr>
            <w:tcW w:type="dxa" w:w="2160"/>
            <w:shd w:val="clear" w:color="auto" w:fill="3B4259"/>
          </w:tcPr>
          <w:p>
            <w:r>
              <w:rPr>
                <w:rFonts w:ascii="Calibri" w:hAnsi="Calibri"/>
                <w:b/>
                <w:color w:val="FFFFFF"/>
                <w:sz w:val="22"/>
              </w:rPr>
              <w:t>Read-Through for ON</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Automotive</w:t>
            </w:r>
          </w:p>
        </w:tc>
        <w:tc>
          <w:tcPr>
            <w:tcW w:type="dxa" w:w="2160"/>
          </w:tcPr>
          <w:p>
            <w:r>
              <w:rPr>
                <w:rFonts w:ascii="Calibri" w:hAnsi="Calibri"/>
                <w:sz w:val="22"/>
              </w:rPr>
              <w:t>"Starting to see the acceleration in automotive" and an "inflection" driven by EVs/hybrids and customers taking inventory to "very low levels." Expects "strong demand across the board" in Q3 with automotive as a key contributor. "I think we are in the start of a cycle that is very, very broad."</w:t>
            </w:r>
          </w:p>
        </w:tc>
        <w:tc>
          <w:tcPr>
            <w:tcW w:type="dxa" w:w="2160"/>
          </w:tcPr>
          <w:p>
            <w:r>
              <w:rPr>
                <w:rFonts w:ascii="Calibri" w:hAnsi="Calibri"/>
                <w:sz w:val="22"/>
              </w:rPr>
              <w:t>Directly positive for ON's automotive power/SiC business. Lean customer inventory + EV demand acceleration mirrors ON's own Q1 commentary about shipping to natural demand and being on allocation in certain technologies.</w:t>
            </w:r>
          </w:p>
        </w:tc>
        <w:tc>
          <w:tcPr>
            <w:tcW w:type="dxa" w:w="2160"/>
          </w:tcPr>
          <w:p>
            <w:r>
              <w:rPr>
                <w:rFonts w:ascii="Calibri" w:hAnsi="Calibri"/>
                <w:b/>
                <w:color w:val="30A46C"/>
                <w:sz w:val="22"/>
              </w:rPr>
              <w:t>Positive</w:t>
            </w:r>
          </w:p>
        </w:tc>
      </w:tr>
      <w:tr>
        <w:tc>
          <w:tcPr>
            <w:tcW w:type="dxa" w:w="2160"/>
          </w:tcPr>
          <w:p>
            <w:r>
              <w:rPr>
                <w:rFonts w:ascii="Calibri" w:hAnsi="Calibri"/>
                <w:sz w:val="22"/>
              </w:rPr>
              <w:t>Industrial</w:t>
            </w:r>
          </w:p>
        </w:tc>
        <w:tc>
          <w:tcPr>
            <w:tcW w:type="dxa" w:w="2160"/>
          </w:tcPr>
          <w:p>
            <w:r>
              <w:rPr>
                <w:rFonts w:ascii="Calibri" w:hAnsi="Calibri"/>
                <w:sz w:val="22"/>
              </w:rPr>
              <w:t>Industrial still "5–6 points lower than the 2022 peak" but growing strongly; "a lot of room to grow ahead of us." Data center providing "tailwind into the industrial market" via energy infrastructure and test &amp; measurement. "Customers are early and have not yet [begun] building inventory."</w:t>
            </w:r>
          </w:p>
        </w:tc>
        <w:tc>
          <w:tcPr>
            <w:tcW w:type="dxa" w:w="2160"/>
          </w:tcPr>
          <w:p>
            <w:r>
              <w:rPr>
                <w:rFonts w:ascii="Calibri" w:hAnsi="Calibri"/>
                <w:sz w:val="22"/>
              </w:rPr>
              <w:t>Positive for ON's industrial segment. Pre-restocking environment with genuine end-demand recovery (not channel fill) is exactly the setup ON described in Q1. Energy infrastructure tailwind aligns with ON's energy storage system commentary.</w:t>
            </w:r>
          </w:p>
        </w:tc>
        <w:tc>
          <w:tcPr>
            <w:tcW w:type="dxa" w:w="2160"/>
          </w:tcPr>
          <w:p>
            <w:r>
              <w:rPr>
                <w:rFonts w:ascii="Calibri" w:hAnsi="Calibri"/>
                <w:b/>
                <w:color w:val="30A46C"/>
                <w:sz w:val="22"/>
              </w:rPr>
              <w:t>Positive</w:t>
            </w:r>
          </w:p>
        </w:tc>
      </w:tr>
      <w:tr>
        <w:tc>
          <w:tcPr>
            <w:tcW w:type="dxa" w:w="2160"/>
          </w:tcPr>
          <w:p>
            <w:r>
              <w:rPr>
                <w:rFonts w:ascii="Calibri" w:hAnsi="Calibri"/>
                <w:sz w:val="22"/>
              </w:rPr>
              <w:t>AI Data Center</w:t>
            </w:r>
          </w:p>
        </w:tc>
        <w:tc>
          <w:tcPr>
            <w:tcW w:type="dxa" w:w="2160"/>
          </w:tcPr>
          <w:p>
            <w:r>
              <w:rPr>
                <w:rFonts w:ascii="Calibri" w:hAnsi="Calibri"/>
                <w:sz w:val="22"/>
              </w:rPr>
              <w:t>"Strong demand in the data center market" expected to continue "in the foreseeable future." 800V architecture transition viewed as a "tailwind" creating "higher growth of the TAM, more conversion stages." "The higher the voltage, the more opportunity we see."</w:t>
            </w:r>
          </w:p>
        </w:tc>
        <w:tc>
          <w:tcPr>
            <w:tcW w:type="dxa" w:w="2160"/>
          </w:tcPr>
          <w:p>
            <w:r>
              <w:rPr>
                <w:rFonts w:ascii="Calibri" w:hAnsi="Calibri"/>
                <w:sz w:val="22"/>
              </w:rPr>
              <w:t>Highly positive for ON. TXN's 800V tailwind commentary directly validates ON's own framework where 800V rack content grows by more than an order of magnitude vs. current racks. ON is uniquely positioned as the only broad-based U.S. power semiconductor supplier across the full power tree.</w:t>
            </w:r>
          </w:p>
        </w:tc>
        <w:tc>
          <w:tcPr>
            <w:tcW w:type="dxa" w:w="2160"/>
          </w:tcPr>
          <w:p>
            <w:r>
              <w:rPr>
                <w:rFonts w:ascii="Calibri" w:hAnsi="Calibri"/>
                <w:b/>
                <w:color w:val="30A46C"/>
                <w:sz w:val="22"/>
              </w:rPr>
              <w:t>Positive</w:t>
            </w:r>
          </w:p>
        </w:tc>
      </w:tr>
      <w:tr>
        <w:tc>
          <w:tcPr>
            <w:tcW w:type="dxa" w:w="2160"/>
          </w:tcPr>
          <w:p>
            <w:r>
              <w:rPr>
                <w:rFonts w:ascii="Calibri" w:hAnsi="Calibri"/>
                <w:sz w:val="22"/>
              </w:rPr>
              <w:t>Pricing / Margins</w:t>
            </w:r>
          </w:p>
        </w:tc>
        <w:tc>
          <w:tcPr>
            <w:tcW w:type="dxa" w:w="2160"/>
          </w:tcPr>
          <w:p>
            <w:r>
              <w:rPr>
                <w:rFonts w:ascii="Calibri" w:hAnsi="Calibri"/>
                <w:sz w:val="22"/>
              </w:rPr>
              <w:t>"Started executing price increases" across analog and embedded; automotive and analog seeing most pressure. Q3 pricing contribution "almost insignificant" but expected to build into Q4 and 2027. Gross margin fall-through 70–85% ex-depreciation.</w:t>
            </w:r>
          </w:p>
        </w:tc>
        <w:tc>
          <w:tcPr>
            <w:tcW w:type="dxa" w:w="2160"/>
          </w:tcPr>
          <w:p>
            <w:r>
              <w:rPr>
                <w:rFonts w:ascii="Calibri" w:hAnsi="Calibri"/>
                <w:sz w:val="22"/>
              </w:rPr>
              <w:t>Positive for ON's margin trajectory. Industry-wide pricing power emerging validates ON's April 1 price increase strategy. ON expects pricing tailwind to flow through P&amp;L in H2 2026.</w:t>
            </w:r>
          </w:p>
        </w:tc>
        <w:tc>
          <w:tcPr>
            <w:tcW w:type="dxa" w:w="2160"/>
          </w:tcPr>
          <w:p>
            <w:r>
              <w:rPr>
                <w:rFonts w:ascii="Calibri" w:hAnsi="Calibri"/>
                <w:b/>
                <w:color w:val="30A46C"/>
                <w:sz w:val="22"/>
              </w:rPr>
              <w:t>Positive</w:t>
            </w:r>
          </w:p>
        </w:tc>
      </w:tr>
      <w:tr>
        <w:tc>
          <w:tcPr>
            <w:tcW w:type="dxa" w:w="2160"/>
          </w:tcPr>
          <w:p>
            <w:r>
              <w:rPr>
                <w:rFonts w:ascii="Calibri" w:hAnsi="Calibri"/>
                <w:sz w:val="22"/>
              </w:rPr>
              <w:t>Supply / Lead Times</w:t>
            </w:r>
          </w:p>
        </w:tc>
        <w:tc>
          <w:tcPr>
            <w:tcW w:type="dxa" w:w="2160"/>
          </w:tcPr>
          <w:p>
            <w:r>
              <w:rPr>
                <w:rFonts w:ascii="Calibri" w:hAnsi="Calibri"/>
                <w:sz w:val="22"/>
              </w:rPr>
              <w:t>Factory loadings increased Q1→Q2 and "continued to increase throughout Q2." Backlog building "both for immediate shipment and further out." Lead times "a couple of weeks higher" due to growing demand. "Our plan is not to be the problem — we want to be the solution."</w:t>
            </w:r>
          </w:p>
        </w:tc>
        <w:tc>
          <w:tcPr>
            <w:tcW w:type="dxa" w:w="2160"/>
          </w:tcPr>
          <w:p>
            <w:r>
              <w:rPr>
                <w:rFonts w:ascii="Calibri" w:hAnsi="Calibri"/>
                <w:sz w:val="22"/>
              </w:rPr>
              <w:t>Positive. Tightening supply conditions across the industry support ON's own lead time extension (23→26 weeks) and allocation commentary. Demand outstripping supply is a favorable pricing and margin environment.</w:t>
            </w:r>
          </w:p>
        </w:tc>
        <w:tc>
          <w:tcPr>
            <w:tcW w:type="dxa" w:w="2160"/>
          </w:tcPr>
          <w:p>
            <w:r>
              <w:rPr>
                <w:rFonts w:ascii="Calibri" w:hAnsi="Calibri"/>
                <w:b/>
                <w:color w:val="30A46C"/>
                <w:sz w:val="22"/>
              </w:rPr>
              <w:t>Positive</w:t>
            </w:r>
          </w:p>
        </w:tc>
      </w:tr>
      <w:tr>
        <w:tc>
          <w:tcPr>
            <w:tcW w:type="dxa" w:w="2160"/>
          </w:tcPr>
          <w:p>
            <w:r>
              <w:rPr>
                <w:rFonts w:ascii="Calibri" w:hAnsi="Calibri"/>
                <w:sz w:val="22"/>
              </w:rPr>
              <w:t>Stock Reaction</w:t>
            </w:r>
          </w:p>
        </w:tc>
        <w:tc>
          <w:tcPr>
            <w:tcW w:type="dxa" w:w="2160"/>
          </w:tcPr>
          <w:p>
            <w:r>
              <w:rPr>
                <w:rFonts w:ascii="Calibri" w:hAnsi="Calibri"/>
                <w:sz w:val="22"/>
              </w:rPr>
              <w:t>TXN stock dropped ~3.4% after-hours despite a strong beat and above-consensus Q3 guidance, reflecting elevated expectations after a ~68% YTD run.</w:t>
            </w:r>
          </w:p>
        </w:tc>
        <w:tc>
          <w:tcPr>
            <w:tcW w:type="dxa" w:w="2160"/>
          </w:tcPr>
          <w:p>
            <w:r>
              <w:rPr>
                <w:rFonts w:ascii="Calibri" w:hAnsi="Calibri"/>
                <w:sz w:val="22"/>
              </w:rPr>
              <w:t>Caution: Even strong beats can disappoint if the stock has run hard. ON's stock has already corrected -20% since Q1 earnings, which may reduce this risk.</w:t>
            </w:r>
          </w:p>
        </w:tc>
        <w:tc>
          <w:tcPr>
            <w:tcW w:type="dxa" w:w="2160"/>
          </w:tcPr>
          <w:p>
            <w:r>
              <w:rPr>
                <w:rFonts w:ascii="Calibri" w:hAnsi="Calibri"/>
                <w:i/>
                <w:sz w:val="22"/>
              </w:rPr>
              <w:t>Mixed</w:t>
            </w:r>
          </w:p>
        </w:tc>
      </w:tr>
    </w:tbl>
    <w:p>
      <w:r>
        <w:rPr>
          <w:rFonts w:ascii="Calibri" w:hAnsi="Calibri"/>
          <w:i/>
          <w:color w:val="525866"/>
          <w:sz w:val="22"/>
        </w:rPr>
        <w:t>Source: Texas Instruments Q2 2026 Earnings Call Transcript (July 22, 2026); TXN Q2 2026 Earnings Release (8-K, July 22, 2026).</w:t>
      </w:r>
    </w:p>
    <w:p>
      <w:pPr>
        <w:pStyle w:val="Heading3"/>
      </w:pPr>
      <w:r>
        <w:rPr>
          <w:rFonts w:ascii="Calibri" w:hAnsi="Calibri"/>
          <w:b/>
          <w:color w:val="3B4259"/>
          <w:sz w:val="24"/>
        </w:rPr>
        <w:t>6.2 STMicroelectronics (STM) — Q2 2026 Earnings Call, July 23, 2026</w:t>
      </w:r>
    </w:p>
    <w:p>
      <w:r>
        <w:rPr>
          <w:rFonts w:ascii="Calibri" w:hAnsi="Calibri"/>
          <w:b/>
          <w:color w:val="525866"/>
          <w:sz w:val="22"/>
        </w:rPr>
        <w:t xml:space="preserve">Q3 2026 Guidance: </w:t>
      </w:r>
      <w:r>
        <w:rPr>
          <w:rFonts w:ascii="Calibri" w:hAnsi="Calibri"/>
          <w:color w:val="525866"/>
          <w:sz w:val="22"/>
        </w:rPr>
        <w:t>Revenue $3.7B ±350 bps (+6.2% QoQ, +16.2% YoY); Gross margin ~37% ±200 bps (incl. ~70 bps unused capacity charges). Non-GAAP OpEx ~$980M. Note: Q3 guidance missed Street expectations of ~$3.78B, causing STM shares to fall ~15% on the day.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STM Q3 2026 Forward Commentary</w:t>
            </w:r>
          </w:p>
        </w:tc>
        <w:tc>
          <w:tcPr>
            <w:tcW w:type="dxa" w:w="2160"/>
            <w:shd w:val="clear" w:color="auto" w:fill="3B4259"/>
          </w:tcPr>
          <w:p>
            <w:r>
              <w:rPr>
                <w:rFonts w:ascii="Calibri" w:hAnsi="Calibri"/>
                <w:b/>
                <w:color w:val="FFFFFF"/>
                <w:sz w:val="22"/>
              </w:rPr>
              <w:t>Read-Through for ON</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AI Data Center</w:t>
            </w:r>
          </w:p>
        </w:tc>
        <w:tc>
          <w:tcPr>
            <w:tcW w:type="dxa" w:w="2160"/>
          </w:tcPr>
          <w:p>
            <w:r>
              <w:rPr>
                <w:rFonts w:ascii="Calibri" w:hAnsi="Calibri"/>
                <w:sz w:val="22"/>
              </w:rPr>
              <w:t>Raised data center revenue ambition to "&gt;$1B in 2026" and "well above $2B in 2027." Driven by optical connectivity, silicon photonics, and microcontrollers for AI power stages. "Acceleration in adoption of 800G and 1.6 Tbps pluggable optics." Business is "accretive to gross margins." Q4 expected to see "revenue growth acceleration" driven by AI data center programs.</w:t>
            </w:r>
          </w:p>
        </w:tc>
        <w:tc>
          <w:tcPr>
            <w:tcW w:type="dxa" w:w="2160"/>
          </w:tcPr>
          <w:p>
            <w:r>
              <w:rPr>
                <w:rFonts w:ascii="Calibri" w:hAnsi="Calibri"/>
                <w:sz w:val="22"/>
              </w:rPr>
              <w:t>Positive for ON's AI data center power business. STM's raised ambition and margin accretion from data center confirms the structural demand tailwind. ON's unique full-power-tree positioning (grid to processor) should benefit from the same acceleration.</w:t>
            </w:r>
          </w:p>
        </w:tc>
        <w:tc>
          <w:tcPr>
            <w:tcW w:type="dxa" w:w="2160"/>
          </w:tcPr>
          <w:p>
            <w:r>
              <w:rPr>
                <w:rFonts w:ascii="Calibri" w:hAnsi="Calibri"/>
                <w:b/>
                <w:color w:val="30A46C"/>
                <w:sz w:val="22"/>
              </w:rPr>
              <w:t>Positive</w:t>
            </w:r>
          </w:p>
        </w:tc>
      </w:tr>
      <w:tr>
        <w:tc>
          <w:tcPr>
            <w:tcW w:type="dxa" w:w="2160"/>
          </w:tcPr>
          <w:p>
            <w:r>
              <w:rPr>
                <w:rFonts w:ascii="Calibri" w:hAnsi="Calibri"/>
                <w:sz w:val="22"/>
              </w:rPr>
              <w:t>Automotive</w:t>
            </w:r>
          </w:p>
        </w:tc>
        <w:tc>
          <w:tcPr>
            <w:tcW w:type="dxa" w:w="2160"/>
          </w:tcPr>
          <w:p>
            <w:r>
              <w:rPr>
                <w:rFonts w:ascii="Calibri" w:hAnsi="Calibri"/>
                <w:sz w:val="22"/>
              </w:rPr>
              <w:t>Q2 automotive "better than expected" (+14% QoQ, +16% YoY). Design wins across hybrid, EV, and conventional vehicles (onboard chargers, powertrain, ADAS). Q4 automotive expected "low double-digit" YoY growth. Strong bookings with book-to-bill "well above one."</w:t>
            </w:r>
          </w:p>
        </w:tc>
        <w:tc>
          <w:tcPr>
            <w:tcW w:type="dxa" w:w="2160"/>
          </w:tcPr>
          <w:p>
            <w:r>
              <w:rPr>
                <w:rFonts w:ascii="Calibri" w:hAnsi="Calibri"/>
                <w:sz w:val="22"/>
              </w:rPr>
              <w:t>Positive for ON's automotive segment. Broad-based automotive strength across vehicle types and applications, with strong bookings visibility, supports ON's own automotive recovery narrative. SiC tightness (6→ 8-inch transition) could benefit ON if it has better capacity.</w:t>
            </w:r>
          </w:p>
        </w:tc>
        <w:tc>
          <w:tcPr>
            <w:tcW w:type="dxa" w:w="2160"/>
          </w:tcPr>
          <w:p>
            <w:r>
              <w:rPr>
                <w:rFonts w:ascii="Calibri" w:hAnsi="Calibri"/>
                <w:b/>
                <w:color w:val="30A46C"/>
                <w:sz w:val="22"/>
              </w:rPr>
              <w:t>Positive</w:t>
            </w:r>
          </w:p>
        </w:tc>
      </w:tr>
      <w:tr>
        <w:tc>
          <w:tcPr>
            <w:tcW w:type="dxa" w:w="2160"/>
          </w:tcPr>
          <w:p>
            <w:r>
              <w:rPr>
                <w:rFonts w:ascii="Calibri" w:hAnsi="Calibri"/>
                <w:sz w:val="22"/>
              </w:rPr>
              <w:t>Industrial</w:t>
            </w:r>
          </w:p>
        </w:tc>
        <w:tc>
          <w:tcPr>
            <w:tcW w:type="dxa" w:w="2160"/>
          </w:tcPr>
          <w:p>
            <w:r>
              <w:rPr>
                <w:rFonts w:ascii="Calibri" w:hAnsi="Calibri"/>
                <w:sz w:val="22"/>
              </w:rPr>
              <w:t>Industrial +20% QoQ, +34% YoY in Q2. Distribution inventory "below standard target." Q4 industrial expected "close to 40% growth YoY." "Strongly positioned to support factory automation, robotics, and power/energy infrastructure." Supply tension emerging in general-purpose MCUs due to "enormous success" in optical cable and industrial recovery.</w:t>
            </w:r>
          </w:p>
        </w:tc>
        <w:tc>
          <w:tcPr>
            <w:tcW w:type="dxa" w:w="2160"/>
          </w:tcPr>
          <w:p>
            <w:r>
              <w:rPr>
                <w:rFonts w:ascii="Calibri" w:hAnsi="Calibri"/>
                <w:sz w:val="22"/>
              </w:rPr>
              <w:t>Positive for ON's industrial power/analog business. Lean distribution inventory + genuine end-demand recovery (not restocking) is the ideal setup. Supply tension in MCUs could benefit ON's power solutions if customers redirect spend.</w:t>
            </w:r>
          </w:p>
        </w:tc>
        <w:tc>
          <w:tcPr>
            <w:tcW w:type="dxa" w:w="2160"/>
          </w:tcPr>
          <w:p>
            <w:r>
              <w:rPr>
                <w:rFonts w:ascii="Calibri" w:hAnsi="Calibri"/>
                <w:b/>
                <w:color w:val="30A46C"/>
                <w:sz w:val="22"/>
              </w:rPr>
              <w:t>Positive</w:t>
            </w:r>
          </w:p>
        </w:tc>
      </w:tr>
      <w:tr>
        <w:tc>
          <w:tcPr>
            <w:tcW w:type="dxa" w:w="2160"/>
          </w:tcPr>
          <w:p>
            <w:r>
              <w:rPr>
                <w:rFonts w:ascii="Calibri" w:hAnsi="Calibri"/>
                <w:sz w:val="22"/>
              </w:rPr>
              <w:t>Silicon Carbide</w:t>
            </w:r>
          </w:p>
        </w:tc>
        <w:tc>
          <w:tcPr>
            <w:tcW w:type="dxa" w:w="2160"/>
          </w:tcPr>
          <w:p>
            <w:r>
              <w:rPr>
                <w:rFonts w:ascii="Calibri" w:hAnsi="Calibri"/>
                <w:sz w:val="22"/>
              </w:rPr>
              <w:t>SiC back to growth (low-teens YoY, mid-30s QoQ in Q2). Bookings "well above one" with growing backlog. Expects "double-digit" SiC revenue growth in 2026 vs. 2025. Supply tightness from 6→ 8-inch wafer transition.</w:t>
            </w:r>
          </w:p>
        </w:tc>
        <w:tc>
          <w:tcPr>
            <w:tcW w:type="dxa" w:w="2160"/>
          </w:tcPr>
          <w:p>
            <w:r>
              <w:rPr>
                <w:rFonts w:ascii="Calibri" w:hAnsi="Calibri"/>
                <w:sz w:val="22"/>
              </w:rPr>
              <w:t>Positive for ON's SiC franchise. Confirms robust SiC demand in automotive and industrial. STM's supply tightness during wafer transition could create share gain opportunity for ON, which has been investing in its own SiC capacity and holds ~55% share of new EV models at the 2026 Beijing Auto Show.</w:t>
            </w:r>
          </w:p>
        </w:tc>
        <w:tc>
          <w:tcPr>
            <w:tcW w:type="dxa" w:w="2160"/>
          </w:tcPr>
          <w:p>
            <w:r>
              <w:rPr>
                <w:rFonts w:ascii="Calibri" w:hAnsi="Calibri"/>
                <w:b/>
                <w:color w:val="30A46C"/>
                <w:sz w:val="22"/>
              </w:rPr>
              <w:t>Positive</w:t>
            </w:r>
          </w:p>
        </w:tc>
      </w:tr>
      <w:tr>
        <w:tc>
          <w:tcPr>
            <w:tcW w:type="dxa" w:w="2160"/>
          </w:tcPr>
          <w:p>
            <w:r>
              <w:rPr>
                <w:rFonts w:ascii="Calibri" w:hAnsi="Calibri"/>
                <w:sz w:val="22"/>
              </w:rPr>
              <w:t>Demand / Bookings</w:t>
            </w:r>
          </w:p>
        </w:tc>
        <w:tc>
          <w:tcPr>
            <w:tcW w:type="dxa" w:w="2160"/>
          </w:tcPr>
          <w:p>
            <w:r>
              <w:rPr>
                <w:rFonts w:ascii="Calibri" w:hAnsi="Calibri"/>
                <w:sz w:val="22"/>
              </w:rPr>
              <w:t>Book-to-bill "close to two" in Q2. Total backlog represents "4.5–5 quarters of Q2 average revenue." Over 50% of Q2 bookings were for next year. "Demand increased further with strong bookings in all end markets and improved visibility in Q3."</w:t>
            </w:r>
          </w:p>
        </w:tc>
        <w:tc>
          <w:tcPr>
            <w:tcW w:type="dxa" w:w="2160"/>
          </w:tcPr>
          <w:p>
            <w:r>
              <w:rPr>
                <w:rFonts w:ascii="Calibri" w:hAnsi="Calibri"/>
                <w:sz w:val="22"/>
              </w:rPr>
              <w:t>Positive. Exceptional backlog visibility and booking strength across all end markets confirms the broad-based demand recovery ON described in Q1. Customers booking well into 2027 suggests the cycle has legs.</w:t>
            </w:r>
          </w:p>
        </w:tc>
        <w:tc>
          <w:tcPr>
            <w:tcW w:type="dxa" w:w="2160"/>
          </w:tcPr>
          <w:p>
            <w:r>
              <w:rPr>
                <w:rFonts w:ascii="Calibri" w:hAnsi="Calibri"/>
                <w:b/>
                <w:color w:val="30A46C"/>
                <w:sz w:val="22"/>
              </w:rPr>
              <w:t>Positive</w:t>
            </w:r>
          </w:p>
        </w:tc>
      </w:tr>
      <w:tr>
        <w:tc>
          <w:tcPr>
            <w:tcW w:type="dxa" w:w="2160"/>
          </w:tcPr>
          <w:p>
            <w:r>
              <w:rPr>
                <w:rFonts w:ascii="Calibri" w:hAnsi="Calibri"/>
                <w:sz w:val="22"/>
              </w:rPr>
              <w:t>Pricing / Margins</w:t>
            </w:r>
          </w:p>
        </w:tc>
        <w:tc>
          <w:tcPr>
            <w:tcW w:type="dxa" w:w="2160"/>
          </w:tcPr>
          <w:p>
            <w:r>
              <w:rPr>
                <w:rFonts w:ascii="Calibri" w:hAnsi="Calibri"/>
                <w:sz w:val="22"/>
              </w:rPr>
              <w:t>Input cost increases from materials and contractors; STM raising prices on "selected products." Currently the "two impacts are more or less offsetting each other." Long-term gross margin model of &gt;40% at $4B revenue requires completing manufacturing reshaping by end of 2027.</w:t>
            </w:r>
          </w:p>
        </w:tc>
        <w:tc>
          <w:tcPr>
            <w:tcW w:type="dxa" w:w="2160"/>
          </w:tcPr>
          <w:p>
            <w:r>
              <w:rPr>
                <w:rFonts w:ascii="Calibri" w:hAnsi="Calibri"/>
                <w:sz w:val="22"/>
              </w:rPr>
              <w:t>Mixed. Input cost inflation is real but manageable via selective pricing — consistent with ON's own posture. ON's pricing actions (effective April 1) are expected to flow through in H2 2026, which is a positive differentiator vs. STM's current offset-only posture.</w:t>
            </w:r>
          </w:p>
        </w:tc>
        <w:tc>
          <w:tcPr>
            <w:tcW w:type="dxa" w:w="2160"/>
          </w:tcPr>
          <w:p>
            <w:r>
              <w:rPr>
                <w:rFonts w:ascii="Calibri" w:hAnsi="Calibri"/>
                <w:i/>
                <w:sz w:val="22"/>
              </w:rPr>
              <w:t>Mixed</w:t>
            </w:r>
          </w:p>
        </w:tc>
      </w:tr>
      <w:tr>
        <w:tc>
          <w:tcPr>
            <w:tcW w:type="dxa" w:w="2160"/>
          </w:tcPr>
          <w:p>
            <w:r>
              <w:rPr>
                <w:rFonts w:ascii="Calibri" w:hAnsi="Calibri"/>
                <w:sz w:val="22"/>
              </w:rPr>
              <w:t>Stock Reaction / Expectations Risk</w:t>
            </w:r>
          </w:p>
        </w:tc>
        <w:tc>
          <w:tcPr>
            <w:tcW w:type="dxa" w:w="2160"/>
          </w:tcPr>
          <w:p>
            <w:r>
              <w:rPr>
                <w:rFonts w:ascii="Calibri" w:hAnsi="Calibri"/>
                <w:sz w:val="22"/>
              </w:rPr>
              <w:t>STM shares fell ~15% despite Q2 beat and raised data center outlook, because Q3 revenue guidance of $3.7B missed Street expectations of $3.78B. Stock had run ~113% YTD heading into the print.</w:t>
            </w:r>
          </w:p>
        </w:tc>
        <w:tc>
          <w:tcPr>
            <w:tcW w:type="dxa" w:w="2160"/>
          </w:tcPr>
          <w:p>
            <w:r>
              <w:rPr>
                <w:rFonts w:ascii="Calibri" w:hAnsi="Calibri"/>
                <w:sz w:val="22"/>
              </w:rPr>
              <w:t>Key caution for ON: elevated expectations can punish even when fundamentals are strong. However, ON's stock has already corrected -20% since Q1 earnings, significantly reducing this risk vs. STM's setup.</w:t>
            </w:r>
          </w:p>
        </w:tc>
        <w:tc>
          <w:tcPr>
            <w:tcW w:type="dxa" w:w="2160"/>
          </w:tcPr>
          <w:p>
            <w:r>
              <w:rPr>
                <w:rFonts w:ascii="Calibri" w:hAnsi="Calibri"/>
                <w:i/>
                <w:sz w:val="22"/>
              </w:rPr>
              <w:t>Caution</w:t>
            </w:r>
          </w:p>
        </w:tc>
      </w:tr>
    </w:tbl>
    <w:p>
      <w:r>
        <w:rPr>
          <w:rFonts w:ascii="Calibri" w:hAnsi="Calibri"/>
          <w:i/>
          <w:color w:val="525866"/>
          <w:sz w:val="22"/>
        </w:rPr>
        <w:t>Source: STMicroelectronics Q2 2026 Earnings Call Transcript (July 23, 2026); STM Q2 2026 Earnings Release (6-K, July 23, 2026).</w:t>
      </w:r>
    </w:p>
    <w:p>
      <w:pPr>
        <w:pStyle w:val="Heading3"/>
      </w:pPr>
      <w:r>
        <w:rPr>
          <w:rFonts w:ascii="Calibri" w:hAnsi="Calibri"/>
          <w:b/>
          <w:color w:val="3B4259"/>
          <w:sz w:val="24"/>
        </w:rPr>
        <w:t>6.3 NXP Semiconductors (NXPI) — Q2 2026 Earnings Call, July 28, 2026</w:t>
      </w:r>
    </w:p>
    <w:p>
      <w:r>
        <w:rPr>
          <w:rFonts w:ascii="Calibri" w:hAnsi="Calibri"/>
          <w:b/>
          <w:color w:val="525866"/>
          <w:sz w:val="22"/>
        </w:rPr>
        <w:t xml:space="preserve">Q3 2026 Guidance: </w:t>
      </w:r>
      <w:r>
        <w:rPr>
          <w:rFonts w:ascii="Calibri" w:hAnsi="Calibri"/>
          <w:color w:val="525866"/>
          <w:sz w:val="22"/>
        </w:rPr>
        <w:t>Revenue $3.75B (+21% YoY adj., +7% QoQ); Automotive +high-teens% YoY; Industrial &amp; IoT +high-30s% YoY; Comms Infrastructure (incl. data center) +~50% YoY; Non-GAAP Gross Margin 58.5% ±50 bps; Non-GAAP EPS $4.11 (vs. Street $4.02). Reported Q2 EPS $3.61 (vs. Street $3.54) and revenue $3.49B (vs. Street $3.46B) — modest beat but stock sold off, reflecting high bar.</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NXPI Q3 2026 Forward Commentary</w:t>
            </w:r>
          </w:p>
        </w:tc>
        <w:tc>
          <w:tcPr>
            <w:tcW w:type="dxa" w:w="2160"/>
            <w:shd w:val="clear" w:color="auto" w:fill="3B4259"/>
          </w:tcPr>
          <w:p>
            <w:r>
              <w:rPr>
                <w:rFonts w:ascii="Calibri" w:hAnsi="Calibri"/>
                <w:b/>
                <w:color w:val="FFFFFF"/>
                <w:sz w:val="22"/>
              </w:rPr>
              <w:t>Read-Through for ON</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Overall Demand / Visibility</w:t>
            </w:r>
          </w:p>
        </w:tc>
        <w:tc>
          <w:tcPr>
            <w:tcW w:type="dxa" w:w="2160"/>
          </w:tcPr>
          <w:p>
            <w:r>
              <w:rPr>
                <w:rFonts w:ascii="Calibri" w:hAnsi="Calibri"/>
                <w:sz w:val="22"/>
              </w:rPr>
              <w:t>"Operational metrics continue to strengthen and our outlook is better than we anticipated 90 days ago." Backlog growing "quarter 1, quarter 2, quarter 3" providing "signal of 18 months out." Book-to-bill "above one and above last quarter." Customer escalations "doubled since last quarter." Visibility improved "into Q4" and "into Q1." "Momentum into Q3 continues into Q4."</w:t>
            </w:r>
          </w:p>
        </w:tc>
        <w:tc>
          <w:tcPr>
            <w:tcW w:type="dxa" w:w="2160"/>
          </w:tcPr>
          <w:p>
            <w:r>
              <w:rPr>
                <w:rFonts w:ascii="Calibri" w:hAnsi="Calibri"/>
                <w:sz w:val="22"/>
              </w:rPr>
              <w:t>Highly positive for ON. Strengthening demand metrics, extended backlog visibility, and doubling customer escalations all confirm the broad-based semiconductor recovery ON described in Q1. The 18-month backlog signal is particularly encouraging for ON's H2 2026 outgrowth commitment.</w:t>
            </w:r>
          </w:p>
        </w:tc>
        <w:tc>
          <w:tcPr>
            <w:tcW w:type="dxa" w:w="2160"/>
          </w:tcPr>
          <w:p>
            <w:r>
              <w:rPr>
                <w:rFonts w:ascii="Calibri" w:hAnsi="Calibri"/>
                <w:b/>
                <w:color w:val="30A46C"/>
                <w:sz w:val="22"/>
              </w:rPr>
              <w:t>Positive</w:t>
            </w:r>
          </w:p>
        </w:tc>
      </w:tr>
      <w:tr>
        <w:tc>
          <w:tcPr>
            <w:tcW w:type="dxa" w:w="2160"/>
          </w:tcPr>
          <w:p>
            <w:r>
              <w:rPr>
                <w:rFonts w:ascii="Calibri" w:hAnsi="Calibri"/>
                <w:sz w:val="22"/>
              </w:rPr>
              <w:t>Automotive</w:t>
            </w:r>
          </w:p>
        </w:tc>
        <w:tc>
          <w:tcPr>
            <w:tcW w:type="dxa" w:w="2160"/>
          </w:tcPr>
          <w:p>
            <w:r>
              <w:rPr>
                <w:rFonts w:ascii="Calibri" w:hAnsi="Calibri"/>
                <w:sz w:val="22"/>
              </w:rPr>
              <w:t>Automotive growth driven by "content" and "architecture transformation" (SDV), not restocking. "Digestion is behind us, but we have not seen any pull forwards or restocking efforts." Lead times "&gt;16 weeks" for a big chunk of portfolio. New S32N/S32K design wins are "multi-year platform commitments." "We are in the start of a cycle that is very, very broad."</w:t>
            </w:r>
          </w:p>
        </w:tc>
        <w:tc>
          <w:tcPr>
            <w:tcW w:type="dxa" w:w="2160"/>
          </w:tcPr>
          <w:p>
            <w:r>
              <w:rPr>
                <w:rFonts w:ascii="Calibri" w:hAnsi="Calibri"/>
                <w:sz w:val="22"/>
              </w:rPr>
              <w:t>Positive for ON. Content-driven (not restocking-driven) automotive growth is structurally durable. Extended lead times and no pull-forward behavior suggests the recovery has legs. ON's own automotive commentary (shipping to natural demand, on allocation in certain technologies) is consistent with NXPI's read.</w:t>
            </w:r>
          </w:p>
        </w:tc>
        <w:tc>
          <w:tcPr>
            <w:tcW w:type="dxa" w:w="2160"/>
          </w:tcPr>
          <w:p>
            <w:r>
              <w:rPr>
                <w:rFonts w:ascii="Calibri" w:hAnsi="Calibri"/>
                <w:b/>
                <w:color w:val="30A46C"/>
                <w:sz w:val="22"/>
              </w:rPr>
              <w:t>Positive</w:t>
            </w:r>
          </w:p>
        </w:tc>
      </w:tr>
      <w:tr>
        <w:tc>
          <w:tcPr>
            <w:tcW w:type="dxa" w:w="2160"/>
          </w:tcPr>
          <w:p>
            <w:r>
              <w:rPr>
                <w:rFonts w:ascii="Calibri" w:hAnsi="Calibri"/>
                <w:sz w:val="22"/>
              </w:rPr>
              <w:t>Industrial &amp; IoT</w:t>
            </w:r>
          </w:p>
        </w:tc>
        <w:tc>
          <w:tcPr>
            <w:tcW w:type="dxa" w:w="2160"/>
          </w:tcPr>
          <w:p>
            <w:r>
              <w:rPr>
                <w:rFonts w:ascii="Calibri" w:hAnsi="Calibri"/>
                <w:sz w:val="22"/>
              </w:rPr>
              <w:t>Industrial &amp; IoT guided +high-30s% YoY in Q3. "Performing quite well." AI-enabled processors expected to represent ~15% of industrial IoT processor revenue in 2026, "more than doubling from last year."</w:t>
            </w:r>
          </w:p>
        </w:tc>
        <w:tc>
          <w:tcPr>
            <w:tcW w:type="dxa" w:w="2160"/>
          </w:tcPr>
          <w:p>
            <w:r>
              <w:rPr>
                <w:rFonts w:ascii="Calibri" w:hAnsi="Calibri"/>
                <w:sz w:val="22"/>
              </w:rPr>
              <w:t>Positive for ON's industrial segment. High-30s% YoY growth guidance from NXPI confirms the industrial recovery is broad and accelerating. AI penetration into industrial applications is a secular tailwind for ON's intelligent power and sensing solutions.</w:t>
            </w:r>
          </w:p>
        </w:tc>
        <w:tc>
          <w:tcPr>
            <w:tcW w:type="dxa" w:w="2160"/>
          </w:tcPr>
          <w:p>
            <w:r>
              <w:rPr>
                <w:rFonts w:ascii="Calibri" w:hAnsi="Calibri"/>
                <w:b/>
                <w:color w:val="30A46C"/>
                <w:sz w:val="22"/>
              </w:rPr>
              <w:t>Positive</w:t>
            </w:r>
          </w:p>
        </w:tc>
      </w:tr>
      <w:tr>
        <w:tc>
          <w:tcPr>
            <w:tcW w:type="dxa" w:w="2160"/>
          </w:tcPr>
          <w:p>
            <w:r>
              <w:rPr>
                <w:rFonts w:ascii="Calibri" w:hAnsi="Calibri"/>
                <w:sz w:val="22"/>
              </w:rPr>
              <w:t>AI Data Center / Physical AI</w:t>
            </w:r>
          </w:p>
        </w:tc>
        <w:tc>
          <w:tcPr>
            <w:tcW w:type="dxa" w:w="2160"/>
          </w:tcPr>
          <w:p>
            <w:r>
              <w:rPr>
                <w:rFonts w:ascii="Calibri" w:hAnsi="Calibri"/>
                <w:sz w:val="22"/>
              </w:rPr>
              <w:t>Data center revenue expected to exceed $500M in 2026 (from ~$200M in 2025). "AI is moving from the cloud to the physical world into vehicles, factories and robots." Canera AI design win funnel grew to "&gt;$1.5B" (from &gt;$1B last quarter) across "200+ unique customers." "Physical AI is a very important driver of content growth."</w:t>
            </w:r>
          </w:p>
        </w:tc>
        <w:tc>
          <w:tcPr>
            <w:tcW w:type="dxa" w:w="2160"/>
          </w:tcPr>
          <w:p>
            <w:r>
              <w:rPr>
                <w:rFonts w:ascii="Calibri" w:hAnsi="Calibri"/>
                <w:sz w:val="22"/>
              </w:rPr>
              <w:t>Positive for ON. NXPI's rapidly growing AI design win funnel and the "physical AI" theme directly validates ON's strategic positioning in automotive, industrial, and AI data center power. The convergence of AI from cloud to edge is a multi-year tailwind for ON's intelligent power and sensing portfolio.</w:t>
            </w:r>
          </w:p>
        </w:tc>
        <w:tc>
          <w:tcPr>
            <w:tcW w:type="dxa" w:w="2160"/>
          </w:tcPr>
          <w:p>
            <w:r>
              <w:rPr>
                <w:rFonts w:ascii="Calibri" w:hAnsi="Calibri"/>
                <w:b/>
                <w:color w:val="30A46C"/>
                <w:sz w:val="22"/>
              </w:rPr>
              <w:t>Positive</w:t>
            </w:r>
          </w:p>
        </w:tc>
      </w:tr>
      <w:tr>
        <w:tc>
          <w:tcPr>
            <w:tcW w:type="dxa" w:w="2160"/>
          </w:tcPr>
          <w:p>
            <w:r>
              <w:rPr>
                <w:rFonts w:ascii="Calibri" w:hAnsi="Calibri"/>
                <w:sz w:val="22"/>
              </w:rPr>
              <w:t>Margins / Pricing</w:t>
            </w:r>
          </w:p>
        </w:tc>
        <w:tc>
          <w:tcPr>
            <w:tcW w:type="dxa" w:w="2160"/>
          </w:tcPr>
          <w:p>
            <w:r>
              <w:rPr>
                <w:rFonts w:ascii="Calibri" w:hAnsi="Calibri"/>
                <w:sz w:val="22"/>
              </w:rPr>
              <w:t>Gross margin expansion "structural, driven by product mix, factory utilization discipline, and operational leverage." Utilization moving "into the mid-80s" to support H2 margin improvement. Inflationary input costs (substrates, precious metals) addressed via "price adjustments to selected products." Foundry cost increases expected "more in Q4, but more in 2027."</w:t>
            </w:r>
          </w:p>
        </w:tc>
        <w:tc>
          <w:tcPr>
            <w:tcW w:type="dxa" w:w="2160"/>
          </w:tcPr>
          <w:p>
            <w:r>
              <w:rPr>
                <w:rFonts w:ascii="Calibri" w:hAnsi="Calibri"/>
                <w:sz w:val="22"/>
              </w:rPr>
              <w:t>Positive for ON's margin trajectory. Structural margin expansion via utilization and mix is the same playbook ON is executing. NXPI's ability to raise prices selectively validates the pricing environment. Foundry cost headwinds in 2027 are a watch item for ON as well.</w:t>
            </w:r>
          </w:p>
        </w:tc>
        <w:tc>
          <w:tcPr>
            <w:tcW w:type="dxa" w:w="2160"/>
          </w:tcPr>
          <w:p>
            <w:r>
              <w:rPr>
                <w:rFonts w:ascii="Calibri" w:hAnsi="Calibri"/>
                <w:b/>
                <w:color w:val="30A46C"/>
                <w:sz w:val="22"/>
              </w:rPr>
              <w:t>Positive</w:t>
            </w:r>
          </w:p>
        </w:tc>
      </w:tr>
      <w:tr>
        <w:tc>
          <w:tcPr>
            <w:tcW w:type="dxa" w:w="2160"/>
          </w:tcPr>
          <w:p>
            <w:r>
              <w:rPr>
                <w:rFonts w:ascii="Calibri" w:hAnsi="Calibri"/>
                <w:sz w:val="22"/>
              </w:rPr>
              <w:t>Stock Reaction / Expectations Risk</w:t>
            </w:r>
          </w:p>
        </w:tc>
        <w:tc>
          <w:tcPr>
            <w:tcW w:type="dxa" w:w="2160"/>
          </w:tcPr>
          <w:p>
            <w:r>
              <w:rPr>
                <w:rFonts w:ascii="Calibri" w:hAnsi="Calibri"/>
                <w:sz w:val="22"/>
              </w:rPr>
              <w:t>NXPI beat Q2 estimates and guided Q3 above consensus, but the stock sold off, as "modest beats proved insufficient to drive immediate buying interest amid broader tech earnings season challenges."</w:t>
            </w:r>
          </w:p>
        </w:tc>
        <w:tc>
          <w:tcPr>
            <w:tcW w:type="dxa" w:w="2160"/>
          </w:tcPr>
          <w:p>
            <w:r>
              <w:rPr>
                <w:rFonts w:ascii="Calibri" w:hAnsi="Calibri"/>
                <w:sz w:val="22"/>
              </w:rPr>
              <w:t>Caution: The market is demanding more than modest beats from semiconductor stocks. ON's -20% correction since Q1 earnings may have already reset expectations to a more achievable level, but the bar for a positive reaction remains high.</w:t>
            </w:r>
          </w:p>
        </w:tc>
        <w:tc>
          <w:tcPr>
            <w:tcW w:type="dxa" w:w="2160"/>
          </w:tcPr>
          <w:p>
            <w:r>
              <w:rPr>
                <w:rFonts w:ascii="Calibri" w:hAnsi="Calibri"/>
                <w:i/>
                <w:sz w:val="22"/>
              </w:rPr>
              <w:t>Caution</w:t>
            </w:r>
          </w:p>
        </w:tc>
      </w:tr>
    </w:tbl>
    <w:p>
      <w:r>
        <w:rPr>
          <w:rFonts w:ascii="Calibri" w:hAnsi="Calibri"/>
          <w:i/>
          <w:color w:val="525866"/>
          <w:sz w:val="22"/>
        </w:rPr>
        <w:t>Source: NXP Semiconductors Q2 2026 Earnings Call Transcript (July 28, 2026); NXPI Q2 2026 Earnings Release (8-K, July 28, 2026).</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Exposure</w:t>
            </w:r>
          </w:p>
        </w:tc>
        <w:tc>
          <w:tcPr>
            <w:tcW w:type="dxa" w:w="1728"/>
            <w:shd w:val="clear" w:color="auto" w:fill="3B4259"/>
          </w:tcPr>
          <w:p>
            <w:r>
              <w:rPr>
                <w:rFonts w:ascii="Calibri" w:hAnsi="Calibri"/>
                <w:b/>
                <w:color w:val="FFFFFF"/>
                <w:sz w:val="22"/>
              </w:rPr>
              <w:t>TXN Signal</w:t>
            </w:r>
          </w:p>
        </w:tc>
        <w:tc>
          <w:tcPr>
            <w:tcW w:type="dxa" w:w="1728"/>
            <w:shd w:val="clear" w:color="auto" w:fill="3B4259"/>
          </w:tcPr>
          <w:p>
            <w:r>
              <w:rPr>
                <w:rFonts w:ascii="Calibri" w:hAnsi="Calibri"/>
                <w:b/>
                <w:color w:val="FFFFFF"/>
                <w:sz w:val="22"/>
              </w:rPr>
              <w:t>STM Signal</w:t>
            </w:r>
          </w:p>
        </w:tc>
        <w:tc>
          <w:tcPr>
            <w:tcW w:type="dxa" w:w="1728"/>
            <w:shd w:val="clear" w:color="auto" w:fill="3B4259"/>
          </w:tcPr>
          <w:p>
            <w:r>
              <w:rPr>
                <w:rFonts w:ascii="Calibri" w:hAnsi="Calibri"/>
                <w:b/>
                <w:color w:val="FFFFFF"/>
                <w:sz w:val="22"/>
              </w:rPr>
              <w:t>NXPI Signal</w:t>
            </w:r>
          </w:p>
        </w:tc>
        <w:tc>
          <w:tcPr>
            <w:tcW w:type="dxa" w:w="1728"/>
            <w:shd w:val="clear" w:color="auto" w:fill="3B4259"/>
          </w:tcPr>
          <w:p>
            <w:r>
              <w:rPr>
                <w:rFonts w:ascii="Calibri" w:hAnsi="Calibri"/>
                <w:b/>
                <w:color w:val="FFFFFF"/>
                <w:sz w:val="22"/>
              </w:rPr>
              <w:t>Net Read-Through for ON</w:t>
            </w:r>
          </w:p>
        </w:tc>
      </w:tr>
      <w:tr>
        <w:tc>
          <w:tcPr>
            <w:tcW w:type="dxa" w:w="1728"/>
          </w:tcPr>
          <w:p>
            <w:r>
              <w:rPr>
                <w:rFonts w:ascii="Calibri" w:hAnsi="Calibri"/>
                <w:sz w:val="22"/>
              </w:rPr>
              <w:t>Automotive</w:t>
            </w:r>
          </w:p>
        </w:tc>
        <w:tc>
          <w:tcPr>
            <w:tcW w:type="dxa" w:w="1728"/>
          </w:tcPr>
          <w:p>
            <w:r>
              <w:rPr>
                <w:rFonts w:ascii="Calibri" w:hAnsi="Calibri"/>
                <w:b/>
                <w:color w:val="30A46C"/>
                <w:sz w:val="22"/>
              </w:rPr>
              <w:t>Positive</w:t>
            </w:r>
          </w:p>
        </w:tc>
        <w:tc>
          <w:tcPr>
            <w:tcW w:type="dxa" w:w="1728"/>
          </w:tcPr>
          <w:p>
            <w:r>
              <w:rPr>
                <w:rFonts w:ascii="Calibri" w:hAnsi="Calibri"/>
                <w:b/>
                <w:color w:val="30A46C"/>
                <w:sz w:val="22"/>
              </w:rPr>
              <w:t>Positive</w:t>
            </w:r>
          </w:p>
        </w:tc>
        <w:tc>
          <w:tcPr>
            <w:tcW w:type="dxa" w:w="1728"/>
          </w:tcPr>
          <w:p>
            <w:r>
              <w:rPr>
                <w:rFonts w:ascii="Calibri" w:hAnsi="Calibri"/>
                <w:b/>
                <w:color w:val="30A46C"/>
                <w:sz w:val="22"/>
              </w:rPr>
              <w:t>Positive</w:t>
            </w:r>
          </w:p>
        </w:tc>
        <w:tc>
          <w:tcPr>
            <w:tcW w:type="dxa" w:w="1728"/>
          </w:tcPr>
          <w:p>
            <w:r>
              <w:rPr>
                <w:rFonts w:ascii="Calibri" w:hAnsi="Calibri"/>
                <w:b/>
                <w:color w:val="30A46C"/>
                <w:sz w:val="22"/>
              </w:rPr>
              <w:t>Positive — broad-based, content-driven, not restocking</w:t>
            </w:r>
          </w:p>
        </w:tc>
      </w:tr>
      <w:tr>
        <w:tc>
          <w:tcPr>
            <w:tcW w:type="dxa" w:w="1728"/>
          </w:tcPr>
          <w:p>
            <w:r>
              <w:rPr>
                <w:rFonts w:ascii="Calibri" w:hAnsi="Calibri"/>
                <w:sz w:val="22"/>
              </w:rPr>
              <w:t>Industrial</w:t>
            </w:r>
          </w:p>
        </w:tc>
        <w:tc>
          <w:tcPr>
            <w:tcW w:type="dxa" w:w="1728"/>
          </w:tcPr>
          <w:p>
            <w:r>
              <w:rPr>
                <w:rFonts w:ascii="Calibri" w:hAnsi="Calibri"/>
                <w:b/>
                <w:color w:val="30A46C"/>
                <w:sz w:val="22"/>
              </w:rPr>
              <w:t>Positive</w:t>
            </w:r>
          </w:p>
        </w:tc>
        <w:tc>
          <w:tcPr>
            <w:tcW w:type="dxa" w:w="1728"/>
          </w:tcPr>
          <w:p>
            <w:r>
              <w:rPr>
                <w:rFonts w:ascii="Calibri" w:hAnsi="Calibri"/>
                <w:b/>
                <w:color w:val="30A46C"/>
                <w:sz w:val="22"/>
              </w:rPr>
              <w:t>Positive</w:t>
            </w:r>
          </w:p>
        </w:tc>
        <w:tc>
          <w:tcPr>
            <w:tcW w:type="dxa" w:w="1728"/>
          </w:tcPr>
          <w:p>
            <w:r>
              <w:rPr>
                <w:rFonts w:ascii="Calibri" w:hAnsi="Calibri"/>
                <w:b/>
                <w:color w:val="30A46C"/>
                <w:sz w:val="22"/>
              </w:rPr>
              <w:t>Positive</w:t>
            </w:r>
          </w:p>
        </w:tc>
        <w:tc>
          <w:tcPr>
            <w:tcW w:type="dxa" w:w="1728"/>
          </w:tcPr>
          <w:p>
            <w:r>
              <w:rPr>
                <w:rFonts w:ascii="Calibri" w:hAnsi="Calibri"/>
                <w:b/>
                <w:color w:val="30A46C"/>
                <w:sz w:val="22"/>
              </w:rPr>
              <w:t>Positive — lean inventory, genuine end-demand recovery</w:t>
            </w:r>
          </w:p>
        </w:tc>
      </w:tr>
      <w:tr>
        <w:tc>
          <w:tcPr>
            <w:tcW w:type="dxa" w:w="1728"/>
          </w:tcPr>
          <w:p>
            <w:r>
              <w:rPr>
                <w:rFonts w:ascii="Calibri" w:hAnsi="Calibri"/>
                <w:sz w:val="22"/>
              </w:rPr>
              <w:t>AI Data Center</w:t>
            </w:r>
          </w:p>
        </w:tc>
        <w:tc>
          <w:tcPr>
            <w:tcW w:type="dxa" w:w="1728"/>
          </w:tcPr>
          <w:p>
            <w:r>
              <w:rPr>
                <w:rFonts w:ascii="Calibri" w:hAnsi="Calibri"/>
                <w:b/>
                <w:color w:val="30A46C"/>
                <w:sz w:val="22"/>
              </w:rPr>
              <w:t>Positive</w:t>
            </w:r>
          </w:p>
        </w:tc>
        <w:tc>
          <w:tcPr>
            <w:tcW w:type="dxa" w:w="1728"/>
          </w:tcPr>
          <w:p>
            <w:r>
              <w:rPr>
                <w:rFonts w:ascii="Calibri" w:hAnsi="Calibri"/>
                <w:b/>
                <w:color w:val="30A46C"/>
                <w:sz w:val="22"/>
              </w:rPr>
              <w:t>Positive</w:t>
            </w:r>
          </w:p>
        </w:tc>
        <w:tc>
          <w:tcPr>
            <w:tcW w:type="dxa" w:w="1728"/>
          </w:tcPr>
          <w:p>
            <w:r>
              <w:rPr>
                <w:rFonts w:ascii="Calibri" w:hAnsi="Calibri"/>
                <w:b/>
                <w:color w:val="30A46C"/>
                <w:sz w:val="22"/>
              </w:rPr>
              <w:t>Positive</w:t>
            </w:r>
          </w:p>
        </w:tc>
        <w:tc>
          <w:tcPr>
            <w:tcW w:type="dxa" w:w="1728"/>
          </w:tcPr>
          <w:p>
            <w:r>
              <w:rPr>
                <w:rFonts w:ascii="Calibri" w:hAnsi="Calibri"/>
                <w:b/>
                <w:color w:val="30A46C"/>
                <w:sz w:val="22"/>
              </w:rPr>
              <w:t>Positive — 800V tailwind, physical AI, accelerating spend</w:t>
            </w:r>
          </w:p>
        </w:tc>
      </w:tr>
      <w:tr>
        <w:tc>
          <w:tcPr>
            <w:tcW w:type="dxa" w:w="1728"/>
          </w:tcPr>
          <w:p>
            <w:r>
              <w:rPr>
                <w:rFonts w:ascii="Calibri" w:hAnsi="Calibri"/>
                <w:sz w:val="22"/>
              </w:rPr>
              <w:t>Silicon Carbide</w:t>
            </w:r>
          </w:p>
        </w:tc>
        <w:tc>
          <w:tcPr>
            <w:tcW w:type="dxa" w:w="1728"/>
          </w:tcPr>
          <w:p>
            <w:r>
              <w:rPr>
                <w:rFonts w:ascii="Calibri" w:hAnsi="Calibri"/>
                <w:sz w:val="22"/>
              </w:rPr>
              <w:t>N/A</w:t>
            </w:r>
          </w:p>
        </w:tc>
        <w:tc>
          <w:tcPr>
            <w:tcW w:type="dxa" w:w="1728"/>
          </w:tcPr>
          <w:p>
            <w:r>
              <w:rPr>
                <w:rFonts w:ascii="Calibri" w:hAnsi="Calibri"/>
                <w:b/>
                <w:color w:val="30A46C"/>
                <w:sz w:val="22"/>
              </w:rPr>
              <w:t>Positive</w:t>
            </w:r>
          </w:p>
        </w:tc>
        <w:tc>
          <w:tcPr>
            <w:tcW w:type="dxa" w:w="1728"/>
          </w:tcPr>
          <w:p>
            <w:r>
              <w:rPr>
                <w:rFonts w:ascii="Calibri" w:hAnsi="Calibri"/>
                <w:sz w:val="22"/>
              </w:rPr>
              <w:t>N/A</w:t>
            </w:r>
          </w:p>
        </w:tc>
        <w:tc>
          <w:tcPr>
            <w:tcW w:type="dxa" w:w="1728"/>
          </w:tcPr>
          <w:p>
            <w:r>
              <w:rPr>
                <w:rFonts w:ascii="Calibri" w:hAnsi="Calibri"/>
                <w:b/>
                <w:color w:val="30A46C"/>
                <w:sz w:val="22"/>
              </w:rPr>
              <w:t>Positive — double-digit growth, supply tightness = share gain opportunity</w:t>
            </w:r>
          </w:p>
        </w:tc>
      </w:tr>
      <w:tr>
        <w:tc>
          <w:tcPr>
            <w:tcW w:type="dxa" w:w="1728"/>
          </w:tcPr>
          <w:p>
            <w:r>
              <w:rPr>
                <w:rFonts w:ascii="Calibri" w:hAnsi="Calibri"/>
                <w:sz w:val="22"/>
              </w:rPr>
              <w:t>Pricing / Margins</w:t>
            </w:r>
          </w:p>
        </w:tc>
        <w:tc>
          <w:tcPr>
            <w:tcW w:type="dxa" w:w="1728"/>
          </w:tcPr>
          <w:p>
            <w:r>
              <w:rPr>
                <w:rFonts w:ascii="Calibri" w:hAnsi="Calibri"/>
                <w:b/>
                <w:color w:val="30A46C"/>
                <w:sz w:val="22"/>
              </w:rPr>
              <w:t>Positive</w:t>
            </w:r>
          </w:p>
        </w:tc>
        <w:tc>
          <w:tcPr>
            <w:tcW w:type="dxa" w:w="1728"/>
          </w:tcPr>
          <w:p>
            <w:r>
              <w:rPr>
                <w:rFonts w:ascii="Calibri" w:hAnsi="Calibri"/>
                <w:i/>
                <w:sz w:val="22"/>
              </w:rPr>
              <w:t>Mixed</w:t>
            </w:r>
          </w:p>
        </w:tc>
        <w:tc>
          <w:tcPr>
            <w:tcW w:type="dxa" w:w="1728"/>
          </w:tcPr>
          <w:p>
            <w:r>
              <w:rPr>
                <w:rFonts w:ascii="Calibri" w:hAnsi="Calibri"/>
                <w:b/>
                <w:color w:val="30A46C"/>
                <w:sz w:val="22"/>
              </w:rPr>
              <w:t>Positive</w:t>
            </w:r>
          </w:p>
        </w:tc>
        <w:tc>
          <w:tcPr>
            <w:tcW w:type="dxa" w:w="1728"/>
          </w:tcPr>
          <w:p>
            <w:r>
              <w:rPr>
                <w:rFonts w:ascii="Calibri" w:hAnsi="Calibri"/>
                <w:b/>
                <w:color w:val="30A46C"/>
                <w:sz w:val="22"/>
              </w:rPr>
              <w:t>Positive — pricing power emerging; input costs manageable</w:t>
            </w:r>
          </w:p>
        </w:tc>
      </w:tr>
      <w:tr>
        <w:tc>
          <w:tcPr>
            <w:tcW w:type="dxa" w:w="1728"/>
          </w:tcPr>
          <w:p>
            <w:r>
              <w:rPr>
                <w:rFonts w:ascii="Calibri" w:hAnsi="Calibri"/>
                <w:sz w:val="22"/>
              </w:rPr>
              <w:t>Expectations / Stock Risk</w:t>
            </w:r>
          </w:p>
        </w:tc>
        <w:tc>
          <w:tcPr>
            <w:tcW w:type="dxa" w:w="1728"/>
          </w:tcPr>
          <w:p>
            <w:r>
              <w:rPr>
                <w:rFonts w:ascii="Calibri" w:hAnsi="Calibri"/>
                <w:i/>
                <w:sz w:val="22"/>
              </w:rPr>
              <w:t>Caution</w:t>
            </w:r>
          </w:p>
        </w:tc>
        <w:tc>
          <w:tcPr>
            <w:tcW w:type="dxa" w:w="1728"/>
          </w:tcPr>
          <w:p>
            <w:r>
              <w:rPr>
                <w:rFonts w:ascii="Calibri" w:hAnsi="Calibri"/>
                <w:i/>
                <w:sz w:val="22"/>
              </w:rPr>
              <w:t>Caution</w:t>
            </w:r>
          </w:p>
        </w:tc>
        <w:tc>
          <w:tcPr>
            <w:tcW w:type="dxa" w:w="1728"/>
          </w:tcPr>
          <w:p>
            <w:r>
              <w:rPr>
                <w:rFonts w:ascii="Calibri" w:hAnsi="Calibri"/>
                <w:i/>
                <w:sz w:val="22"/>
              </w:rPr>
              <w:t>Caution</w:t>
            </w:r>
          </w:p>
        </w:tc>
        <w:tc>
          <w:tcPr>
            <w:tcW w:type="dxa" w:w="1728"/>
          </w:tcPr>
          <w:p>
            <w:r>
              <w:rPr>
                <w:rFonts w:ascii="Calibri" w:hAnsi="Calibri"/>
                <w:sz w:val="22"/>
              </w:rPr>
              <w:t>Reduced risk for ON given -20% correction since Q1 earnings</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Synaptics all-stock acquisition (June 25) is the single most material post-earnings development — it reset the stock's multiple, introduced dilution overhang, and shifted the strategic narrative from pure-play power/sensing to a broader "intelligent systems" platform. The $1.5B convertible note offering (May 11) and the Q2 earnings date announcement (July 16) are secondary but relevant context.</w:t>
      </w:r>
    </w:p>
    <w:p>
      <w:pPr>
        <w:pStyle w:val="ListBullet"/>
        <w:ind w:left="360" w:hanging="360"/>
      </w:pPr>
      <w:r>
        <w:rPr>
          <w:rFonts w:ascii="Calibri" w:hAnsi="Calibri"/>
          <w:b/>
          <w:color w:val="525866"/>
          <w:sz w:val="22"/>
        </w:rPr>
        <w:t>June 25, 2026 — Synaptics Acquisition Announced (All-Stock, ~$7B EV).</w:t>
      </w:r>
      <w:r>
        <w:rPr>
          <w:rFonts w:ascii="Calibri" w:hAnsi="Calibri"/>
          <w:color w:val="525866"/>
          <w:sz w:val="22"/>
        </w:rPr>
        <w:t xml:space="preserve"> onsemi announced a definitive agreement to acquire Synaptics Incorporated in an all-stock transaction at a fixed exchange ratio of 1.350 ON shares per SYNA share, representing a ~19% premium to the 10-day VWAP. Synaptics shareholders will own ~12% of the combined company. The deal is expected to close in mid-2027, subject to regulatory and Synaptics shareholder approvals. Management guided the transaction to be accretive to non-GAAP EPS within 18 months of closing, with $200M in annual synergies and gross margins consistent with ON's long-term model. The acquisition is intended to expand ON's TAM by $30B to $243B by 2030 by adding Synaptics' Edge AI compute (Astra platform), HMI, and wireless connectivity capabilities. </w:t>
      </w:r>
      <w:r>
        <w:rPr>
          <w:rFonts w:ascii="Calibri" w:hAnsi="Calibri"/>
          <w:b/>
          <w:color w:val="525866"/>
          <w:sz w:val="22"/>
        </w:rPr>
        <w:t xml:space="preserve">Implication: </w:t>
      </w:r>
      <w:r>
        <w:rPr>
          <w:rFonts w:ascii="Calibri" w:hAnsi="Calibri"/>
          <w:color w:val="525866"/>
          <w:sz w:val="22"/>
        </w:rPr>
        <w:t>The deal is the dominant overhang on the stock — the all-stock structure is dilutive (~12% share count increase), the strategic pivot to "intelligent systems" raises questions about focus, and the mid-2027 close timeline means uncertainty persists for ~12 months. The Q2 earnings call will be the first opportunity for management to address investor concerns in detail. ON explicitly reiterated Q2 guidance was unchanged in the deal announcement, which is a positive signal.</w:t>
      </w:r>
    </w:p>
    <w:p>
      <w:pPr>
        <w:pStyle w:val="ListBullet"/>
        <w:ind w:left="360" w:hanging="360"/>
      </w:pPr>
      <w:r>
        <w:rPr>
          <w:rFonts w:ascii="Calibri" w:hAnsi="Calibri"/>
          <w:b/>
          <w:color w:val="525866"/>
          <w:sz w:val="22"/>
        </w:rPr>
        <w:t>May 11, 2026 — $1.5B Convertible Senior Notes Offering Completed (0%, due 2031).</w:t>
      </w:r>
      <w:r>
        <w:rPr>
          <w:rFonts w:ascii="Calibri" w:hAnsi="Calibri"/>
          <w:color w:val="525866"/>
          <w:sz w:val="22"/>
        </w:rPr>
        <w:t xml:space="preserve"> ON completed a $1.5B offering of 0% convertible notes (including full exercise of the $200M greenshoe), with net proceeds of ~$1.47B. Approximately $332M was used to repurchase ~3.1M shares concurrently. Conversion price ~$161.30/share; warrant strike ~$211.54/share (100% premium to the May 6 close of $105.77). Convertible note hedges were purchased to reduce dilution. </w:t>
      </w:r>
      <w:r>
        <w:rPr>
          <w:rFonts w:ascii="Calibri" w:hAnsi="Calibri"/>
          <w:b/>
          <w:color w:val="525866"/>
          <w:sz w:val="22"/>
        </w:rPr>
        <w:t xml:space="preserve">Implication: </w:t>
      </w:r>
      <w:r>
        <w:rPr>
          <w:rFonts w:ascii="Calibri" w:hAnsi="Calibri"/>
          <w:color w:val="525866"/>
          <w:sz w:val="22"/>
        </w:rPr>
        <w:t>The offering added $1.5B of debt but is non-dilutive below $161.30/share (current price ~$82). The concurrent buyback was accretive to EPS. The offering was likely pre-positioned to fund the Synaptics deal or general corporate purposes, and the 0% coupon minimizes interest expense impact.</w:t>
      </w:r>
    </w:p>
    <w:p>
      <w:pPr>
        <w:pStyle w:val="ListBullet"/>
        <w:ind w:left="360" w:hanging="360"/>
      </w:pPr>
      <w:r>
        <w:rPr>
          <w:rFonts w:ascii="Calibri" w:hAnsi="Calibri"/>
          <w:b/>
          <w:color w:val="525866"/>
          <w:sz w:val="22"/>
        </w:rPr>
        <w:t>July 16, 2026 — Q2 2026 Earnings Date Announced.</w:t>
      </w:r>
      <w:r>
        <w:rPr>
          <w:rFonts w:ascii="Calibri" w:hAnsi="Calibri"/>
          <w:color w:val="525866"/>
          <w:sz w:val="22"/>
        </w:rPr>
        <w:t xml:space="preserve"> onsemi confirmed Q2 2026 results will be reported on August 3, 2026 after the U.S. market close, with a conference call at 5:00 PM ET. </w:t>
      </w:r>
      <w:r>
        <w:rPr>
          <w:rFonts w:ascii="Calibri" w:hAnsi="Calibri"/>
          <w:b/>
          <w:color w:val="525866"/>
          <w:sz w:val="22"/>
        </w:rPr>
        <w:t xml:space="preserve">Implication: </w:t>
      </w:r>
      <w:r>
        <w:rPr>
          <w:rFonts w:ascii="Calibri" w:hAnsi="Calibri"/>
          <w:color w:val="525866"/>
          <w:sz w:val="22"/>
        </w:rPr>
        <w:t>Routine announcement; confirms the earnings date used in this preview.</w:t>
      </w:r>
    </w:p>
    <w:p>
      <w:pPr>
        <w:pStyle w:val="ListBullet"/>
        <w:ind w:left="360" w:hanging="360"/>
      </w:pPr>
      <w:r>
        <w:rPr>
          <w:rFonts w:ascii="Calibri" w:hAnsi="Calibri"/>
          <w:b/>
          <w:color w:val="525866"/>
          <w:sz w:val="22"/>
        </w:rPr>
        <w:t>May 18, 2026 — Annual Meeting: Shareholders Approve Simple Majority Voting, Elect Directors.</w:t>
      </w:r>
      <w:r>
        <w:rPr>
          <w:rFonts w:ascii="Calibri" w:hAnsi="Calibri"/>
          <w:color w:val="525866"/>
          <w:sz w:val="22"/>
        </w:rPr>
        <w:t xml:space="preserve"> onsemi shareholders approved a governance change to simple majority voting and elected the board of directors at the annual meeting. </w:t>
      </w:r>
      <w:r>
        <w:rPr>
          <w:rFonts w:ascii="Calibri" w:hAnsi="Calibri"/>
          <w:b/>
          <w:color w:val="525866"/>
          <w:sz w:val="22"/>
        </w:rPr>
        <w:t xml:space="preserve">Implication: </w:t>
      </w:r>
      <w:r>
        <w:rPr>
          <w:rFonts w:ascii="Calibri" w:hAnsi="Calibri"/>
          <w:color w:val="525866"/>
          <w:sz w:val="22"/>
        </w:rPr>
        <w:t>Governance improvement; no material financial impact.</w:t>
      </w:r>
    </w:p>
    <w:p>
      <w:pPr>
        <w:pStyle w:val="ListBullet"/>
        <w:ind w:left="360" w:hanging="360"/>
      </w:pPr>
      <w:r>
        <w:rPr>
          <w:rFonts w:ascii="Calibri" w:hAnsi="Calibri"/>
          <w:b/>
          <w:color w:val="525866"/>
          <w:sz w:val="22"/>
        </w:rPr>
        <w:t>July 29, 2026 — Analog Devices (ADI) Discloses Cyberattack (8-K).</w:t>
      </w:r>
      <w:r>
        <w:rPr>
          <w:rFonts w:ascii="Calibri" w:hAnsi="Calibri"/>
          <w:color w:val="525866"/>
          <w:sz w:val="22"/>
        </w:rPr>
        <w:t xml:space="preserve"> ADI disclosed a cyberattack with files exfiltrated and is assessing a second incident. </w:t>
      </w:r>
      <w:r>
        <w:rPr>
          <w:rFonts w:ascii="Calibri" w:hAnsi="Calibri"/>
          <w:b/>
          <w:color w:val="525866"/>
          <w:sz w:val="22"/>
        </w:rPr>
        <w:t xml:space="preserve">Implication: </w:t>
      </w:r>
      <w:r>
        <w:rPr>
          <w:rFonts w:ascii="Calibri" w:hAnsi="Calibri"/>
          <w:color w:val="525866"/>
          <w:sz w:val="22"/>
        </w:rPr>
        <w:t>Sector-level risk awareness; no direct ON impact identified, but highlights cybersecurity as an emerging operational risk for semiconductor companies.</w:t>
      </w:r>
    </w:p>
    <w:p>
      <w:pPr>
        <w:pStyle w:val="ListBullet"/>
        <w:ind w:left="360" w:hanging="360"/>
      </w:pPr>
      <w:r>
        <w:rPr>
          <w:rFonts w:ascii="Calibri" w:hAnsi="Calibri"/>
          <w:b/>
          <w:color w:val="525866"/>
          <w:sz w:val="22"/>
        </w:rPr>
        <w:t>July 30–31, 2026 — NXPI Reported Exploring Ambarella Acquisition (FT Report).</w:t>
      </w:r>
      <w:r>
        <w:rPr>
          <w:rFonts w:ascii="Calibri" w:hAnsi="Calibri"/>
          <w:color w:val="525866"/>
          <w:sz w:val="22"/>
        </w:rPr>
        <w:t xml:space="preserve"> NXP Semiconductors is reportedly in talks to acquire Ambarella (AMBA), though a deal is not yet certain. </w:t>
      </w:r>
      <w:r>
        <w:rPr>
          <w:rFonts w:ascii="Calibri" w:hAnsi="Calibri"/>
          <w:b/>
          <w:color w:val="525866"/>
          <w:sz w:val="22"/>
        </w:rPr>
        <w:t xml:space="preserve">Implication: </w:t>
      </w:r>
      <w:r>
        <w:rPr>
          <w:rFonts w:ascii="Calibri" w:hAnsi="Calibri"/>
          <w:color w:val="525866"/>
          <w:sz w:val="22"/>
        </w:rPr>
        <w:t>Sector M&amp;A activity is accelerating, consistent with the broader consolidation theme. No direct ON impact, but reinforces that strategic repositioning via M&amp;A is a sector-wide trend.</w:t>
      </w:r>
    </w:p>
    <w:p>
      <w:pPr>
        <w:pStyle w:val="ListBullet"/>
        <w:ind w:left="360" w:hanging="360"/>
      </w:pPr>
      <w:r>
        <w:rPr>
          <w:rFonts w:ascii="Calibri" w:hAnsi="Calibri"/>
          <w:b/>
          <w:color w:val="525866"/>
          <w:sz w:val="22"/>
        </w:rPr>
        <w:t>Ongoing — Non-Core Business Exits Tracking to Plan.</w:t>
      </w:r>
      <w:r>
        <w:rPr>
          <w:rFonts w:ascii="Calibri" w:hAnsi="Calibri"/>
          <w:color w:val="525866"/>
          <w:sz w:val="22"/>
        </w:rPr>
        <w:t xml:space="preserve"> ON exited ~$50M of non-core revenue in Q1 2026 and guided to exit an incremental $30M–$40M in Q2. The full program (~$300M annualized) is on track for completion by end of 2026. </w:t>
      </w:r>
      <w:r>
        <w:rPr>
          <w:rFonts w:ascii="Calibri" w:hAnsi="Calibri"/>
          <w:b/>
          <w:color w:val="525866"/>
          <w:sz w:val="22"/>
        </w:rPr>
        <w:t xml:space="preserve">Implication: </w:t>
      </w:r>
      <w:r>
        <w:rPr>
          <w:rFonts w:ascii="Calibri" w:hAnsi="Calibri"/>
          <w:color w:val="525866"/>
          <w:sz w:val="22"/>
        </w:rPr>
        <w:t>Portfolio rationalization is margin-accretive and reduces revenue noise. Completion by year-end removes a recurring headwind to reported revenue growth.</w:t>
      </w:r>
    </w:p>
    <w:p>
      <w:pPr>
        <w:pStyle w:val="ListBullet"/>
        <w:ind w:left="360" w:hanging="360"/>
      </w:pPr>
      <w:r>
        <w:rPr>
          <w:rFonts w:ascii="Calibri" w:hAnsi="Calibri"/>
          <w:b/>
          <w:color w:val="525866"/>
          <w:sz w:val="22"/>
        </w:rPr>
        <w:t>Ongoing — Analyst Day Scheduled for September 16, 2026.</w:t>
      </w:r>
      <w:r>
        <w:rPr>
          <w:rFonts w:ascii="Calibri" w:hAnsi="Calibri"/>
          <w:color w:val="525866"/>
          <w:sz w:val="22"/>
        </w:rPr>
        <w:t xml:space="preserve"> onsemi has scheduled a Financial Analyst Day for September 16, 2026, where management is expected to provide long-term financial targets and a multi-year growth framework. </w:t>
      </w:r>
      <w:r>
        <w:rPr>
          <w:rFonts w:ascii="Calibri" w:hAnsi="Calibri"/>
          <w:b/>
          <w:color w:val="525866"/>
          <w:sz w:val="22"/>
        </w:rPr>
        <w:t xml:space="preserve">Implication: </w:t>
      </w:r>
      <w:r>
        <w:rPr>
          <w:rFonts w:ascii="Calibri" w:hAnsi="Calibri"/>
          <w:color w:val="525866"/>
          <w:sz w:val="22"/>
        </w:rPr>
        <w:t>The Analyst Day is a potential re-rating catalyst if management provides a credible long-term framework that incorporates the Synaptics acquisition and the AI data center opportunity. Investors will be watching for updated margin targets and capital allocation priorities.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(Form 4 codes P/S) were identified for ON Semiconductor in the period from May 4, 2026 (Q1 earnings) through August 2, 2026, based on SEC Form 4 filings data. The absence of insider buying during the stock's significant post-Synaptics correction (from ~$134 to ~$82) is notable — it does not signal alarm, but the lack of opportunistic buying at depressed levels is worth monitoring.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sells (Form 4 codes P/S) identified in the May 4 – Aug 2, 2026 window per SEC Form 4 filings data.</w:t>
            </w:r>
          </w:p>
        </w:tc>
      </w:tr>
    </w:tbl>
    <w:p>
      <w:r>
        <w:rPr>
          <w:rFonts w:ascii="Calibri" w:hAnsi="Calibri"/>
          <w:i/>
          <w:color w:val="525866"/>
          <w:sz w:val="22"/>
        </w:rPr>
        <w:t xml:space="preserve">Source: SEC Form 4 Filings Database. </w:t>
      </w:r>
      <w:r>
        <w:rPr>
          <w:rFonts w:ascii="Calibri" w:hAnsi="Calibri"/>
          <w:i/>
          <w:color w:val="525866"/>
          <w:sz w:val="22"/>
        </w:rPr>
        <w:t>Query covered open-market transactions (codes P and S) for ON Semiconductor from May 4, 2026 through August 2, 2026. No qualifying transactions were returned. Note: The company repurchased ~3.1M shares ($332M) concurrently with the May 11 convertible note offering — this is a corporate buyback, not an insider transaction, and is not reflected in Form 4 filings.</w:t>
      </w:r>
    </w:p>
    <w:p>
      <w:r>
        <w:br w:type="page"/>
      </w:r>
    </w:p>
    <w:p>
      <w:pPr>
        <w:pStyle w:val="Heading2"/>
      </w:pPr>
      <w:r>
        <w:rPr>
          <w:rFonts w:ascii="Calibri" w:hAnsi="Calibri"/>
          <w:b/>
          <w:color w:val="3B4259"/>
          <w:sz w:val="28"/>
        </w:rPr>
        <w:t>9. Key Risks &amp; Questions for the Call</w:t>
      </w:r>
    </w:p>
    <w:p>
      <w:r>
        <w:rPr>
          <w:rFonts w:ascii="Calibri" w:hAnsi="Calibri"/>
          <w:b/>
          <w:color w:val="525866"/>
          <w:sz w:val="22"/>
        </w:rPr>
        <w:t xml:space="preserve">Key Takeaway: </w:t>
      </w:r>
      <w:r>
        <w:rPr>
          <w:rFonts w:ascii="Calibri" w:hAnsi="Calibri"/>
          <w:color w:val="525866"/>
          <w:sz w:val="22"/>
        </w:rPr>
        <w:t>The Synaptics deal is the dominant risk and will consume significant airtime on the call. Beyond M&amp;A, the key operational questions center on whether AI data center momentum is sustainable, how pricing actions are flowing through margins, and whether the H2 outgrowth commitment is tracking.</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Synaptics Deal Execution Risk.</w:t>
      </w:r>
      <w:r>
        <w:rPr>
          <w:rFonts w:ascii="Calibri" w:hAnsi="Calibri"/>
          <w:color w:val="525866"/>
          <w:sz w:val="22"/>
        </w:rPr>
        <w:t xml:space="preserve"> The all-stock acquisition introduces ~12% dilution, regulatory uncertainty (mid-2027 close), and strategic focus risk. If investors remain skeptical of the strategic rationale or the synergy timeline, the deal overhang could persist through the Analyst Day (September 16). A $320M regulatory termination fee payable by ON if the deal fails on antitrust grounds is a tail risk.</w:t>
      </w:r>
    </w:p>
    <w:p>
      <w:pPr>
        <w:pStyle w:val="ListBullet"/>
        <w:ind w:left="360" w:hanging="360"/>
      </w:pPr>
      <w:r>
        <w:rPr>
          <w:rFonts w:ascii="Calibri" w:hAnsi="Calibri"/>
          <w:b/>
          <w:color w:val="525866"/>
          <w:sz w:val="22"/>
        </w:rPr>
        <w:t>AI Data Center Concentration Risk.</w:t>
      </w:r>
      <w:r>
        <w:rPr>
          <w:rFonts w:ascii="Calibri" w:hAnsi="Calibri"/>
          <w:color w:val="525866"/>
          <w:sz w:val="22"/>
        </w:rPr>
        <w:t xml:space="preserve"> ON's AI data center revenue has been growing dramatically (&gt;30% QoQ, doubling YoY), but this growth is concentrated in a small number of hyperscaler relationships. Any slowdown in hyperscaler capex or a shift in power architecture preferences could disproportionately impact ON's fastest-growing segment.</w:t>
      </w:r>
    </w:p>
    <w:p>
      <w:pPr>
        <w:pStyle w:val="ListBullet"/>
        <w:ind w:left="360" w:hanging="360"/>
      </w:pPr>
      <w:r>
        <w:rPr>
          <w:rFonts w:ascii="Calibri" w:hAnsi="Calibri"/>
          <w:b/>
          <w:color w:val="525866"/>
          <w:sz w:val="22"/>
        </w:rPr>
        <w:t>Gross Margin Trajectory.</w:t>
      </w:r>
      <w:r>
        <w:rPr>
          <w:rFonts w:ascii="Calibri" w:hAnsi="Calibri"/>
          <w:color w:val="525866"/>
          <w:sz w:val="22"/>
        </w:rPr>
        <w:t xml:space="preserve"> Consensus expects ~39.1% gross margin in Q2 vs. 38.5% in Q1. The margin expansion path depends on utilization improvement (guided flat to up slightly in Q2) and pricing actions flowing through in H2. If utilization disappoints or input cost inflation accelerates, the margin expansion story could stall.</w:t>
      </w:r>
    </w:p>
    <w:p>
      <w:pPr>
        <w:pStyle w:val="ListBullet"/>
        <w:ind w:left="360" w:hanging="360"/>
      </w:pPr>
      <w:r>
        <w:rPr>
          <w:rFonts w:ascii="Calibri" w:hAnsi="Calibri"/>
          <w:b/>
          <w:color w:val="525866"/>
          <w:sz w:val="22"/>
        </w:rPr>
        <w:t>Non-Core Revenue Exit Headwind.</w:t>
      </w:r>
      <w:r>
        <w:rPr>
          <w:rFonts w:ascii="Calibri" w:hAnsi="Calibri"/>
          <w:color w:val="525866"/>
          <w:sz w:val="22"/>
        </w:rPr>
        <w:t xml:space="preserve"> ON is exiting $30M–$40M of non-core revenue in Q2, which creates a ~2–3% headwind to reported revenue growth. Investors need to track core revenue growth (ex-exits) to assess underlying momentum, and any slippage in the exit timeline could create confusion.</w:t>
      </w:r>
    </w:p>
    <w:p>
      <w:pPr>
        <w:pStyle w:val="ListBullet"/>
        <w:ind w:left="360" w:hanging="360"/>
      </w:pPr>
      <w:r>
        <w:rPr>
          <w:rFonts w:ascii="Calibri" w:hAnsi="Calibri"/>
          <w:b/>
          <w:color w:val="525866"/>
          <w:sz w:val="22"/>
        </w:rPr>
        <w:t>Automotive Market Volatility.</w:t>
      </w:r>
      <w:r>
        <w:rPr>
          <w:rFonts w:ascii="Calibri" w:hAnsi="Calibri"/>
          <w:color w:val="525866"/>
          <w:sz w:val="22"/>
        </w:rPr>
        <w:t xml:space="preserve"> While automotive posted its first YoY growth in Q1 after seven consecutive quarters of decline, the recovery is still nascent. Any deterioration in EV demand, SAAR weakness, or OEM inventory rebuild could reverse the trend. China automotive (a key growth driver for ON) remains exposed to geopolitical and trade policy risks.</w:t>
      </w:r>
    </w:p>
    <w:p>
      <w:pPr>
        <w:pStyle w:val="ListBullet"/>
        <w:ind w:left="360" w:hanging="360"/>
      </w:pPr>
      <w:r>
        <w:rPr>
          <w:rFonts w:ascii="Calibri" w:hAnsi="Calibri"/>
          <w:b/>
          <w:color w:val="525866"/>
          <w:sz w:val="22"/>
        </w:rPr>
        <w:t>Convertible Note Dilution Overhang.</w:t>
      </w:r>
      <w:r>
        <w:rPr>
          <w:rFonts w:ascii="Calibri" w:hAnsi="Calibri"/>
          <w:color w:val="525866"/>
          <w:sz w:val="22"/>
        </w:rPr>
        <w:t xml:space="preserve"> The $1.5B convertible notes (conversion price ~$161.30) are currently deeply out of the money at ~$82/share, but if the stock recovers, the potential for up to 14.2M additional shares (partially offset by hedges) could weigh on sentiment. The warrants (strike ~$211.54) add a further 18.6M shares of potential dilution at higher prices.</w:t>
      </w:r>
    </w:p>
    <w:p>
      <w:pPr>
        <w:pStyle w:val="ListBullet"/>
        <w:ind w:left="360" w:hanging="360"/>
      </w:pPr>
      <w:r>
        <w:rPr>
          <w:rFonts w:ascii="Calibri" w:hAnsi="Calibri"/>
          <w:b/>
          <w:color w:val="525866"/>
          <w:sz w:val="22"/>
        </w:rPr>
        <w:t>Semiconductor Sector Expectations Bar.</w:t>
      </w:r>
      <w:r>
        <w:rPr>
          <w:rFonts w:ascii="Calibri" w:hAnsi="Calibri"/>
          <w:color w:val="525866"/>
          <w:sz w:val="22"/>
        </w:rPr>
        <w:t xml:space="preserve"> As demonstrated by TXN (-3.4% after a strong beat), STM (-15% despite raised data center outlook), and NXPI (sold off despite beat and above-consensus guidance), the market is demanding more than modest beats from semiconductor stocks. ON's -20% correction since Q1 earnings may have reset expectations, but the bar for a positive stock reaction remains high.</w:t>
      </w:r>
    </w:p>
    <w:p>
      <w:pPr>
        <w:pStyle w:val="Heading3"/>
      </w:pPr>
      <w:r>
        <w:rPr>
          <w:rFonts w:ascii="Calibri" w:hAnsi="Calibri"/>
          <w:b/>
          <w:color w:val="3B4259"/>
          <w:sz w:val="24"/>
        </w:rPr>
        <w:t>Key Questions for Management on the Q2 2026 Earnings Call</w:t>
      </w:r>
    </w:p>
    <w:p>
      <w:pPr>
        <w:pStyle w:val="ListNumber"/>
        <w:ind w:left="360" w:hanging="360"/>
      </w:pPr>
      <w:r>
        <w:rPr>
          <w:rFonts w:ascii="Calibri" w:hAnsi="Calibri"/>
          <w:b/>
          <w:color w:val="525866"/>
          <w:sz w:val="22"/>
        </w:rPr>
        <w:t>Synaptics Strategic Rationale &amp; Integration:</w:t>
      </w:r>
      <w:r>
        <w:rPr>
          <w:rFonts w:ascii="Calibri" w:hAnsi="Calibri"/>
          <w:color w:val="525866"/>
          <w:sz w:val="22"/>
        </w:rPr>
        <w:t xml:space="preserve"> How does Synaptics' Edge AI compute (Astra platform) and HMI portfolio specifically complement ON's power and sensing capabilities? What is the revenue synergy framework beyond the $200M cost synergy target? How will management ensure focus on the core power/sensing business during the 12+ month integration period?</w:t>
      </w:r>
    </w:p>
    <w:p>
      <w:pPr>
        <w:pStyle w:val="ListNumber"/>
        <w:ind w:left="360" w:hanging="360"/>
      </w:pPr>
      <w:r>
        <w:rPr>
          <w:rFonts w:ascii="Calibri" w:hAnsi="Calibri"/>
          <w:b/>
          <w:color w:val="525866"/>
          <w:sz w:val="22"/>
        </w:rPr>
        <w:t>AI Data Center Revenue Trajectory:</w:t>
      </w:r>
      <w:r>
        <w:rPr>
          <w:rFonts w:ascii="Calibri" w:hAnsi="Calibri"/>
          <w:color w:val="525866"/>
          <w:sz w:val="22"/>
        </w:rPr>
        <w:t xml:space="preserve"> Q1 AI data center revenue grew &gt;2x the expected sequential rate. Is Q2 tracking similarly above internal expectations? What is the specific revenue run rate, and how does the 800V rack transition timeline affect the growth trajectory into H2 2026 and 2027?</w:t>
      </w:r>
    </w:p>
    <w:p>
      <w:pPr>
        <w:pStyle w:val="ListNumber"/>
        <w:ind w:left="360" w:hanging="360"/>
      </w:pPr>
      <w:r>
        <w:rPr>
          <w:rFonts w:ascii="Calibri" w:hAnsi="Calibri"/>
          <w:b/>
          <w:color w:val="525866"/>
          <w:sz w:val="22"/>
        </w:rPr>
        <w:t>Gross Margin Expansion Path:</w:t>
      </w:r>
      <w:r>
        <w:rPr>
          <w:rFonts w:ascii="Calibri" w:hAnsi="Calibri"/>
          <w:color w:val="525866"/>
          <w:sz w:val="22"/>
        </w:rPr>
        <w:t xml:space="preserve"> Utilization was guided flat to up slightly in Q2. What is the actual Q2 utilization rate, and what is the path to the low-90s% full utilization level? When do the April 1 pricing actions begin to materially flow through the P&amp;L, and what is the expected gross margin exit rate for Q4 2026?</w:t>
      </w:r>
    </w:p>
    <w:p>
      <w:pPr>
        <w:pStyle w:val="ListNumber"/>
        <w:ind w:left="360" w:hanging="360"/>
      </w:pPr>
      <w:r>
        <w:rPr>
          <w:rFonts w:ascii="Calibri" w:hAnsi="Calibri"/>
          <w:b/>
          <w:color w:val="525866"/>
          <w:sz w:val="22"/>
        </w:rPr>
        <w:t>H2 2026 Outgrowth Confidence:</w:t>
      </w:r>
      <w:r>
        <w:rPr>
          <w:rFonts w:ascii="Calibri" w:hAnsi="Calibri"/>
          <w:color w:val="525866"/>
          <w:sz w:val="22"/>
        </w:rPr>
        <w:t xml:space="preserve"> Management committed to H2 outgrowing H1. With consensus implying H2 revenue of ~$3.39B vs. H1 ~$3.10B (+9.4%), what gives management confidence in this trajectory? Is the outgrowth driven by automotive recovery, AI data center ramp, or industrial restocking?</w:t>
      </w:r>
    </w:p>
    <w:p>
      <w:pPr>
        <w:pStyle w:val="ListNumber"/>
        <w:ind w:left="360" w:hanging="360"/>
      </w:pPr>
      <w:r>
        <w:rPr>
          <w:rFonts w:ascii="Calibri" w:hAnsi="Calibri"/>
          <w:b/>
          <w:color w:val="525866"/>
          <w:sz w:val="22"/>
        </w:rPr>
        <w:t>Non-Core Revenue Exit Completion:</w:t>
      </w:r>
      <w:r>
        <w:rPr>
          <w:rFonts w:ascii="Calibri" w:hAnsi="Calibri"/>
          <w:color w:val="525866"/>
          <w:sz w:val="22"/>
        </w:rPr>
        <w:t xml:space="preserve"> Are the Q2 non-core exits ($30M–$40M) on track? What is the remaining non-core revenue base, and is the end-of-2026 completion timeline still intact? What does core revenue growth look like ex-exits?</w:t>
      </w:r>
    </w:p>
    <w:p>
      <w:pPr>
        <w:pStyle w:val="ListNumber"/>
        <w:ind w:left="360" w:hanging="360"/>
      </w:pPr>
      <w:r>
        <w:rPr>
          <w:rFonts w:ascii="Calibri" w:hAnsi="Calibri"/>
          <w:b/>
          <w:color w:val="525866"/>
          <w:sz w:val="22"/>
        </w:rPr>
        <w:t>Silicon Carbide Market Share &amp; Competition:</w:t>
      </w:r>
      <w:r>
        <w:rPr>
          <w:rFonts w:ascii="Calibri" w:hAnsi="Calibri"/>
          <w:color w:val="525866"/>
          <w:sz w:val="22"/>
        </w:rPr>
        <w:t xml:space="preserve"> ON held ~55% SiC share at the 2026 Beijing Auto Show. How is this share tracking in Q2, and what is the competitive dynamic as Chinese SiC substrate suppliers attempt to commoditize the wafer supply chain? Is ON's device-level differentiation holding?</w:t>
      </w:r>
    </w:p>
    <w:p>
      <w:pPr>
        <w:pStyle w:val="ListNumber"/>
        <w:ind w:left="360" w:hanging="360"/>
      </w:pPr>
      <w:r>
        <w:rPr>
          <w:rFonts w:ascii="Calibri" w:hAnsi="Calibri"/>
          <w:b/>
          <w:color w:val="525866"/>
          <w:sz w:val="22"/>
        </w:rPr>
        <w:t>Capital Allocation Post-Synaptics:</w:t>
      </w:r>
      <w:r>
        <w:rPr>
          <w:rFonts w:ascii="Calibri" w:hAnsi="Calibri"/>
          <w:color w:val="525866"/>
          <w:sz w:val="22"/>
        </w:rPr>
        <w:t xml:space="preserve"> Management committed to maintaining the existing capital return policy during the pendency period. Given the $1.5B convertible note offering and the all-stock deal structure, what is the updated share repurchase capacity and priority? Is the 100% free cash flow return target still operative?</w:t>
      </w:r>
    </w:p>
    <w:p>
      <w:pPr>
        <w:pStyle w:val="ListNumber"/>
        <w:ind w:left="360" w:hanging="360"/>
      </w:pPr>
      <w:r>
        <w:rPr>
          <w:rFonts w:ascii="Calibri" w:hAnsi="Calibri"/>
          <w:b/>
          <w:color w:val="525866"/>
          <w:sz w:val="22"/>
        </w:rPr>
        <w:t>Analyst Day Preview:</w:t>
      </w:r>
      <w:r>
        <w:rPr>
          <w:rFonts w:ascii="Calibri" w:hAnsi="Calibri"/>
          <w:color w:val="525866"/>
          <w:sz w:val="22"/>
        </w:rPr>
        <w:t xml:space="preserve"> What can investors expect from the September 16 Analyst Day? Will management provide updated long-term financial targets that incorporate the Synaptics acquisition, and will there be a new multi-year revenue and margin framework?</w:t>
      </w:r>
    </w:p>
    <w:p>
      <w:r>
        <w:br w:type="page"/>
      </w:r>
    </w:p>
    <w:p>
      <w:pPr>
        <w:pStyle w:val="Heading2"/>
      </w:pPr>
      <w:r>
        <w:rPr>
          <w:rFonts w:ascii="Calibri" w:hAnsi="Calibri"/>
          <w:b/>
          <w:color w:val="3B4259"/>
          <w:sz w:val="28"/>
        </w:rPr>
        <w:t>Appendix: Valuation &amp; Estimate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Current (Jul 31, 2026)</w:t>
            </w:r>
          </w:p>
        </w:tc>
        <w:tc>
          <w:tcPr>
            <w:tcW w:type="dxa" w:w="1728"/>
            <w:shd w:val="clear" w:color="auto" w:fill="3B4259"/>
          </w:tcPr>
          <w:p>
            <w:r>
              <w:rPr>
                <w:rFonts w:ascii="Calibri" w:hAnsi="Calibri"/>
                <w:b/>
                <w:color w:val="FFFFFF"/>
                <w:sz w:val="22"/>
              </w:rPr>
              <w:t>3 Months Ago</w:t>
            </w:r>
          </w:p>
        </w:tc>
        <w:tc>
          <w:tcPr>
            <w:tcW w:type="dxa" w:w="1728"/>
            <w:shd w:val="clear" w:color="auto" w:fill="3B4259"/>
          </w:tcPr>
          <w:p>
            <w:r>
              <w:rPr>
                <w:rFonts w:ascii="Calibri" w:hAnsi="Calibri"/>
                <w:b/>
                <w:color w:val="FFFFFF"/>
                <w:sz w:val="22"/>
              </w:rPr>
              <w:t>6 Months Ago</w:t>
            </w:r>
          </w:p>
        </w:tc>
        <w:tc>
          <w:tcPr>
            <w:tcW w:type="dxa" w:w="1728"/>
            <w:shd w:val="clear" w:color="auto" w:fill="3B4259"/>
          </w:tcPr>
          <w:p>
            <w:r>
              <w:rPr>
                <w:rFonts w:ascii="Calibri" w:hAnsi="Calibri"/>
                <w:b/>
                <w:color w:val="FFFFFF"/>
                <w:sz w:val="22"/>
              </w:rPr>
              <w:t>12 Months Ago</w:t>
            </w:r>
          </w:p>
        </w:tc>
      </w:tr>
      <w:tr>
        <w:tc>
          <w:tcPr>
            <w:tcW w:type="dxa" w:w="1728"/>
          </w:tcPr>
          <w:p>
            <w:r>
              <w:rPr>
                <w:rFonts w:ascii="Calibri" w:hAnsi="Calibri"/>
                <w:sz w:val="22"/>
              </w:rPr>
              <w:t>NTM EV/EBITDA</w:t>
            </w:r>
          </w:p>
        </w:tc>
        <w:tc>
          <w:tcPr>
            <w:tcW w:type="dxa" w:w="1728"/>
          </w:tcPr>
          <w:p>
            <w:r>
              <w:rPr>
                <w:rFonts w:ascii="Calibri" w:hAnsi="Calibri"/>
                <w:sz w:val="22"/>
              </w:rPr>
              <w:t>13.1x</w:t>
            </w:r>
          </w:p>
        </w:tc>
        <w:tc>
          <w:tcPr>
            <w:tcW w:type="dxa" w:w="1728"/>
          </w:tcPr>
          <w:p>
            <w:r>
              <w:rPr>
                <w:rFonts w:ascii="Calibri" w:hAnsi="Calibri"/>
                <w:sz w:val="22"/>
              </w:rPr>
              <w:t>18.3x</w:t>
            </w:r>
          </w:p>
        </w:tc>
        <w:tc>
          <w:tcPr>
            <w:tcW w:type="dxa" w:w="1728"/>
          </w:tcPr>
          <w:p>
            <w:r>
              <w:rPr>
                <w:rFonts w:ascii="Calibri" w:hAnsi="Calibri"/>
                <w:sz w:val="22"/>
              </w:rPr>
              <w:t>13.8x</w:t>
            </w:r>
          </w:p>
        </w:tc>
        <w:tc>
          <w:tcPr>
            <w:tcW w:type="dxa" w:w="1728"/>
          </w:tcPr>
          <w:p>
            <w:r>
              <w:rPr>
                <w:rFonts w:ascii="Calibri" w:hAnsi="Calibri"/>
                <w:sz w:val="22"/>
              </w:rPr>
              <w:t>12.8x</w:t>
            </w:r>
          </w:p>
        </w:tc>
      </w:tr>
      <w:tr>
        <w:tc>
          <w:tcPr>
            <w:tcW w:type="dxa" w:w="1728"/>
          </w:tcPr>
          <w:p>
            <w:r>
              <w:rPr>
                <w:rFonts w:ascii="Calibri" w:hAnsi="Calibri"/>
                <w:sz w:val="22"/>
              </w:rPr>
              <w:t>NTM P/E</w:t>
            </w:r>
          </w:p>
        </w:tc>
        <w:tc>
          <w:tcPr>
            <w:tcW w:type="dxa" w:w="1728"/>
          </w:tcPr>
          <w:p>
            <w:r>
              <w:rPr>
                <w:rFonts w:ascii="Calibri" w:hAnsi="Calibri"/>
                <w:sz w:val="22"/>
              </w:rPr>
              <w:t>22.1x</w:t>
            </w:r>
          </w:p>
        </w:tc>
        <w:tc>
          <w:tcPr>
            <w:tcW w:type="dxa" w:w="1728"/>
          </w:tcPr>
          <w:p>
            <w:r>
              <w:rPr>
                <w:rFonts w:ascii="Calibri" w:hAnsi="Calibri"/>
                <w:sz w:val="22"/>
              </w:rPr>
              <w:t>29.9x</w:t>
            </w:r>
          </w:p>
        </w:tc>
        <w:tc>
          <w:tcPr>
            <w:tcW w:type="dxa" w:w="1728"/>
          </w:tcPr>
          <w:p>
            <w:r>
              <w:rPr>
                <w:rFonts w:ascii="Calibri" w:hAnsi="Calibri"/>
                <w:sz w:val="22"/>
              </w:rPr>
              <w:t>21.7x</w:t>
            </w:r>
          </w:p>
        </w:tc>
        <w:tc>
          <w:tcPr>
            <w:tcW w:type="dxa" w:w="1728"/>
          </w:tcPr>
          <w:p>
            <w:r>
              <w:rPr>
                <w:rFonts w:ascii="Calibri" w:hAnsi="Calibri"/>
                <w:sz w:val="22"/>
              </w:rPr>
              <w:t>20.9x</w:t>
            </w:r>
          </w:p>
        </w:tc>
      </w:tr>
      <w:tr>
        <w:tc>
          <w:tcPr>
            <w:tcW w:type="dxa" w:w="1728"/>
          </w:tcPr>
          <w:p>
            <w:r>
              <w:rPr>
                <w:rFonts w:ascii="Calibri" w:hAnsi="Calibri"/>
                <w:sz w:val="22"/>
              </w:rPr>
              <w:t>NTM EV/Sales</w:t>
            </w:r>
          </w:p>
        </w:tc>
        <w:tc>
          <w:tcPr>
            <w:tcW w:type="dxa" w:w="1728"/>
          </w:tcPr>
          <w:p>
            <w:r>
              <w:rPr>
                <w:rFonts w:ascii="Calibri" w:hAnsi="Calibri"/>
                <w:sz w:val="22"/>
              </w:rPr>
              <w:t>4.8x</w:t>
            </w:r>
          </w:p>
        </w:tc>
        <w:tc>
          <w:tcPr>
            <w:tcW w:type="dxa" w:w="1728"/>
          </w:tcPr>
          <w:p>
            <w:r>
              <w:rPr>
                <w:rFonts w:ascii="Calibri" w:hAnsi="Calibri"/>
                <w:sz w:val="22"/>
              </w:rPr>
              <w:t>6.0x</w:t>
            </w:r>
          </w:p>
        </w:tc>
        <w:tc>
          <w:tcPr>
            <w:tcW w:type="dxa" w:w="1728"/>
          </w:tcPr>
          <w:p>
            <w:r>
              <w:rPr>
                <w:rFonts w:ascii="Calibri" w:hAnsi="Calibri"/>
                <w:sz w:val="22"/>
              </w:rPr>
              <w:t>4.2x</w:t>
            </w:r>
          </w:p>
        </w:tc>
        <w:tc>
          <w:tcPr>
            <w:tcW w:type="dxa" w:w="1728"/>
          </w:tcPr>
          <w:p>
            <w:r>
              <w:rPr>
                <w:rFonts w:ascii="Calibri" w:hAnsi="Calibri"/>
                <w:sz w:val="22"/>
              </w:rPr>
              <w:t>3.9x</w:t>
            </w:r>
          </w:p>
        </w:tc>
      </w:tr>
      <w:tr>
        <w:tc>
          <w:tcPr>
            <w:tcW w:type="dxa" w:w="1728"/>
          </w:tcPr>
          <w:p>
            <w:r>
              <w:rPr>
                <w:rFonts w:ascii="Calibri" w:hAnsi="Calibri"/>
                <w:sz w:val="22"/>
              </w:rPr>
              <w:t>NTM P/FCF</w:t>
            </w:r>
          </w:p>
        </w:tc>
        <w:tc>
          <w:tcPr>
            <w:tcW w:type="dxa" w:w="1728"/>
          </w:tcPr>
          <w:p>
            <w:r>
              <w:rPr>
                <w:rFonts w:ascii="Calibri" w:hAnsi="Calibri"/>
                <w:sz w:val="22"/>
              </w:rPr>
              <w:t>17.5x</w:t>
            </w:r>
          </w:p>
        </w:tc>
        <w:tc>
          <w:tcPr>
            <w:tcW w:type="dxa" w:w="1728"/>
          </w:tcPr>
          <w:p>
            <w:r>
              <w:rPr>
                <w:rFonts w:ascii="Calibri" w:hAnsi="Calibri"/>
                <w:sz w:val="22"/>
              </w:rPr>
              <w:t>25.1x</w:t>
            </w:r>
          </w:p>
        </w:tc>
        <w:tc>
          <w:tcPr>
            <w:tcW w:type="dxa" w:w="1728"/>
          </w:tcPr>
          <w:p>
            <w:r>
              <w:rPr>
                <w:rFonts w:ascii="Calibri" w:hAnsi="Calibri"/>
                <w:sz w:val="22"/>
              </w:rPr>
              <w:t>16.3x</w:t>
            </w:r>
          </w:p>
        </w:tc>
        <w:tc>
          <w:tcPr>
            <w:tcW w:type="dxa" w:w="1728"/>
          </w:tcPr>
          <w:p>
            <w:r>
              <w:rPr>
                <w:rFonts w:ascii="Calibri" w:hAnsi="Calibri"/>
                <w:sz w:val="22"/>
              </w:rPr>
              <w:t>14.9x</w:t>
            </w:r>
          </w:p>
        </w:tc>
      </w:tr>
      <w:tr>
        <w:tc>
          <w:tcPr>
            <w:tcW w:type="dxa" w:w="1728"/>
          </w:tcPr>
          <w:p>
            <w:r>
              <w:rPr>
                <w:rFonts w:ascii="Calibri" w:hAnsi="Calibri"/>
                <w:sz w:val="22"/>
              </w:rPr>
              <w:t>Stock Price</w:t>
            </w:r>
          </w:p>
        </w:tc>
        <w:tc>
          <w:tcPr>
            <w:tcW w:type="dxa" w:w="1728"/>
          </w:tcPr>
          <w:p>
            <w:r>
              <w:rPr>
                <w:rFonts w:ascii="Calibri" w:hAnsi="Calibri"/>
                <w:sz w:val="22"/>
              </w:rPr>
              <w:t>$81.63</w:t>
            </w:r>
          </w:p>
        </w:tc>
        <w:tc>
          <w:tcPr>
            <w:tcW w:type="dxa" w:w="1728"/>
          </w:tcPr>
          <w:p>
            <w:r>
              <w:rPr>
                <w:rFonts w:ascii="Calibri" w:hAnsi="Calibri"/>
                <w:sz w:val="22"/>
              </w:rPr>
              <w:t>~$100.81</w:t>
            </w:r>
          </w:p>
        </w:tc>
        <w:tc>
          <w:tcPr>
            <w:tcW w:type="dxa" w:w="1728"/>
          </w:tcPr>
          <w:p>
            <w:r>
              <w:rPr>
                <w:rFonts w:ascii="Calibri" w:hAnsi="Calibri"/>
                <w:sz w:val="22"/>
              </w:rPr>
              <w:t>~$61.92</w:t>
            </w:r>
          </w:p>
        </w:tc>
        <w:tc>
          <w:tcPr>
            <w:tcW w:type="dxa" w:w="1728"/>
          </w:tcPr>
          <w:p>
            <w:r>
              <w:rPr>
                <w:rFonts w:ascii="Calibri" w:hAnsi="Calibri"/>
                <w:sz w:val="22"/>
              </w:rPr>
              <w:t>~$49.59</w:t>
            </w:r>
          </w:p>
        </w:tc>
      </w:tr>
      <w:tr>
        <w:tc>
          <w:tcPr>
            <w:tcW w:type="dxa" w:w="1728"/>
          </w:tcPr>
          <w:p>
            <w:r>
              <w:rPr>
                <w:rFonts w:ascii="Calibri" w:hAnsi="Calibri"/>
                <w:sz w:val="22"/>
              </w:rPr>
              <w:t>1M Price Change</w:t>
            </w:r>
          </w:p>
        </w:tc>
        <w:tc>
          <w:tcPr>
            <w:tcW w:type="dxa" w:w="1728"/>
          </w:tcPr>
          <w:p>
            <w:r>
              <w:rPr>
                <w:rFonts w:ascii="Calibri" w:hAnsi="Calibri"/>
                <w:sz w:val="22"/>
              </w:rPr>
              <w:t>-13.7%</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w:t>
            </w:r>
          </w:p>
        </w:tc>
      </w:tr>
      <w:tr>
        <w:tc>
          <w:tcPr>
            <w:tcW w:type="dxa" w:w="1728"/>
          </w:tcPr>
          <w:p>
            <w:r>
              <w:rPr>
                <w:rFonts w:ascii="Calibri" w:hAnsi="Calibri"/>
                <w:sz w:val="22"/>
              </w:rPr>
              <w:t>3M Price Change</w:t>
            </w:r>
          </w:p>
        </w:tc>
        <w:tc>
          <w:tcPr>
            <w:tcW w:type="dxa" w:w="1728"/>
          </w:tcPr>
          <w:p>
            <w:r>
              <w:rPr>
                <w:rFonts w:ascii="Calibri" w:hAnsi="Calibri"/>
                <w:sz w:val="22"/>
              </w:rPr>
              <w:t>-19.0%</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w:t>
            </w:r>
          </w:p>
        </w:tc>
      </w:tr>
      <w:tr>
        <w:tc>
          <w:tcPr>
            <w:tcW w:type="dxa" w:w="1728"/>
          </w:tcPr>
          <w:p>
            <w:r>
              <w:rPr>
                <w:rFonts w:ascii="Calibri" w:hAnsi="Calibri"/>
                <w:sz w:val="22"/>
              </w:rPr>
              <w:t>6M Price Change</w:t>
            </w:r>
          </w:p>
        </w:tc>
        <w:tc>
          <w:tcPr>
            <w:tcW w:type="dxa" w:w="1728"/>
          </w:tcPr>
          <w:p>
            <w:r>
              <w:rPr>
                <w:rFonts w:ascii="Calibri" w:hAnsi="Calibri"/>
                <w:sz w:val="22"/>
              </w:rPr>
              <w:t>+31.2%</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w:t>
            </w:r>
          </w:p>
        </w:tc>
      </w:tr>
      <w:tr>
        <w:tc>
          <w:tcPr>
            <w:tcW w:type="dxa" w:w="1728"/>
          </w:tcPr>
          <w:p>
            <w:r>
              <w:rPr>
                <w:rFonts w:ascii="Calibri" w:hAnsi="Calibri"/>
                <w:sz w:val="22"/>
              </w:rPr>
              <w:t>12M Price Change</w:t>
            </w:r>
          </w:p>
        </w:tc>
        <w:tc>
          <w:tcPr>
            <w:tcW w:type="dxa" w:w="1728"/>
          </w:tcPr>
          <w:p>
            <w:r>
              <w:rPr>
                <w:rFonts w:ascii="Calibri" w:hAnsi="Calibri"/>
                <w:sz w:val="22"/>
              </w:rPr>
              <w:t>+40.6%</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w:t>
            </w:r>
          </w:p>
        </w:tc>
      </w:tr>
    </w:tbl>
    <w:p>
      <w:r>
        <w:rPr>
          <w:rFonts w:ascii="Calibri" w:hAnsi="Calibri"/>
          <w:i/>
          <w:color w:val="525866"/>
          <w:sz w:val="22"/>
        </w:rPr>
        <w:t>Source: Stock Price Data (Yahoo Finance); Visible Alpha Consensus and Actuals Data (NTM multiples as of July 31, 2026). Historical stock prices: 3M ago = ~May 1, 2026 (pre-Q1 earnings); 6M ago = ~Feb 2026; 12M ago = ~Aug 2025.</w:t>
      </w:r>
    </w:p>
    <w:p>
      <w:pPr>
        <w:pStyle w:val="Heading3"/>
      </w:pPr>
      <w:r>
        <w:rPr>
          <w:rFonts w:ascii="Calibri" w:hAnsi="Calibri"/>
          <w:b/>
          <w:color w:val="3B4259"/>
          <w:sz w:val="24"/>
        </w:rPr>
        <w:t>FY 2026 &amp; FY 2027 Consensus Estimates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KPI</w:t>
            </w:r>
          </w:p>
        </w:tc>
        <w:tc>
          <w:tcPr>
            <w:tcW w:type="dxa" w:w="2160"/>
            <w:shd w:val="clear" w:color="auto" w:fill="3B4259"/>
          </w:tcPr>
          <w:p>
            <w:r>
              <w:rPr>
                <w:rFonts w:ascii="Calibri" w:hAnsi="Calibri"/>
                <w:b/>
                <w:color w:val="FFFFFF"/>
                <w:sz w:val="22"/>
              </w:rPr>
              <w:t>FY 2026 Consensus</w:t>
            </w:r>
          </w:p>
        </w:tc>
        <w:tc>
          <w:tcPr>
            <w:tcW w:type="dxa" w:w="2160"/>
            <w:shd w:val="clear" w:color="auto" w:fill="3B4259"/>
          </w:tcPr>
          <w:p>
            <w:r>
              <w:rPr>
                <w:rFonts w:ascii="Calibri" w:hAnsi="Calibri"/>
                <w:b/>
                <w:color w:val="FFFFFF"/>
                <w:sz w:val="22"/>
              </w:rPr>
              <w:t>FY 2027 Consensus</w:t>
            </w:r>
          </w:p>
        </w:tc>
        <w:tc>
          <w:tcPr>
            <w:tcW w:type="dxa" w:w="2160"/>
            <w:shd w:val="clear" w:color="auto" w:fill="3B4259"/>
          </w:tcPr>
          <w:p>
            <w:r>
              <w:rPr>
                <w:rFonts w:ascii="Calibri" w:hAnsi="Calibri"/>
                <w:b/>
                <w:color w:val="FFFFFF"/>
                <w:sz w:val="22"/>
              </w:rPr>
              <w:t>YoY Growth (FY26→FY27)</w:t>
            </w:r>
          </w:p>
        </w:tc>
      </w:tr>
      <w:tr>
        <w:tc>
          <w:tcPr>
            <w:tcW w:type="dxa" w:w="2160"/>
          </w:tcPr>
          <w:p>
            <w:r>
              <w:rPr>
                <w:rFonts w:ascii="Calibri" w:hAnsi="Calibri"/>
                <w:sz w:val="22"/>
              </w:rPr>
              <w:t>Revenue</w:t>
            </w:r>
          </w:p>
        </w:tc>
        <w:tc>
          <w:tcPr>
            <w:tcW w:type="dxa" w:w="2160"/>
          </w:tcPr>
          <w:p>
            <w:r>
              <w:rPr>
                <w:rFonts w:ascii="Calibri" w:hAnsi="Calibri"/>
                <w:sz w:val="22"/>
              </w:rPr>
              <w:t>$6.492B</w:t>
            </w:r>
          </w:p>
        </w:tc>
        <w:tc>
          <w:tcPr>
            <w:tcW w:type="dxa" w:w="2160"/>
          </w:tcPr>
          <w:p>
            <w:r>
              <w:rPr>
                <w:rFonts w:ascii="Calibri" w:hAnsi="Calibri"/>
                <w:sz w:val="22"/>
              </w:rPr>
              <w:t>$7.224B</w:t>
            </w:r>
          </w:p>
        </w:tc>
        <w:tc>
          <w:tcPr>
            <w:tcW w:type="dxa" w:w="2160"/>
          </w:tcPr>
          <w:p>
            <w:r>
              <w:rPr>
                <w:rFonts w:ascii="Calibri" w:hAnsi="Calibri"/>
                <w:sz w:val="22"/>
              </w:rPr>
              <w:t>+11.3%</w:t>
            </w:r>
          </w:p>
        </w:tc>
      </w:tr>
      <w:tr>
        <w:tc>
          <w:tcPr>
            <w:tcW w:type="dxa" w:w="2160"/>
          </w:tcPr>
          <w:p>
            <w:r>
              <w:rPr>
                <w:rFonts w:ascii="Calibri" w:hAnsi="Calibri"/>
                <w:sz w:val="22"/>
              </w:rPr>
              <w:t>Non-GAAP EPS</w:t>
            </w:r>
          </w:p>
        </w:tc>
        <w:tc>
          <w:tcPr>
            <w:tcW w:type="dxa" w:w="2160"/>
          </w:tcPr>
          <w:p>
            <w:r>
              <w:rPr>
                <w:rFonts w:ascii="Calibri" w:hAnsi="Calibri"/>
                <w:sz w:val="22"/>
              </w:rPr>
              <w:t>$3.11</w:t>
            </w:r>
          </w:p>
        </w:tc>
        <w:tc>
          <w:tcPr>
            <w:tcW w:type="dxa" w:w="2160"/>
          </w:tcPr>
          <w:p>
            <w:r>
              <w:rPr>
                <w:rFonts w:ascii="Calibri" w:hAnsi="Calibri"/>
                <w:sz w:val="22"/>
              </w:rPr>
              <w:t>$4.28</w:t>
            </w:r>
          </w:p>
        </w:tc>
        <w:tc>
          <w:tcPr>
            <w:tcW w:type="dxa" w:w="2160"/>
          </w:tcPr>
          <w:p>
            <w:r>
              <w:rPr>
                <w:rFonts w:ascii="Calibri" w:hAnsi="Calibri"/>
                <w:sz w:val="22"/>
              </w:rPr>
              <w:t>+37.6%</w:t>
            </w:r>
          </w:p>
        </w:tc>
      </w:tr>
      <w:tr>
        <w:tc>
          <w:tcPr>
            <w:tcW w:type="dxa" w:w="2160"/>
          </w:tcPr>
          <w:p>
            <w:r>
              <w:rPr>
                <w:rFonts w:ascii="Calibri" w:hAnsi="Calibri"/>
                <w:sz w:val="22"/>
              </w:rPr>
              <w:t>Non-GAAP Gross Profit</w:t>
            </w:r>
          </w:p>
        </w:tc>
        <w:tc>
          <w:tcPr>
            <w:tcW w:type="dxa" w:w="2160"/>
          </w:tcPr>
          <w:p>
            <w:r>
              <w:rPr>
                <w:rFonts w:ascii="Calibri" w:hAnsi="Calibri"/>
                <w:sz w:val="22"/>
              </w:rPr>
              <w:t>$2.593B</w:t>
            </w:r>
          </w:p>
        </w:tc>
        <w:tc>
          <w:tcPr>
            <w:tcW w:type="dxa" w:w="2160"/>
          </w:tcPr>
          <w:p>
            <w:r>
              <w:rPr>
                <w:rFonts w:ascii="Calibri" w:hAnsi="Calibri"/>
                <w:sz w:val="22"/>
              </w:rPr>
              <w:t>$3.151B</w:t>
            </w:r>
          </w:p>
        </w:tc>
        <w:tc>
          <w:tcPr>
            <w:tcW w:type="dxa" w:w="2160"/>
          </w:tcPr>
          <w:p>
            <w:r>
              <w:rPr>
                <w:rFonts w:ascii="Calibri" w:hAnsi="Calibri"/>
                <w:sz w:val="22"/>
              </w:rPr>
              <w:t>+21.5%</w:t>
            </w:r>
          </w:p>
        </w:tc>
      </w:tr>
      <w:tr>
        <w:tc>
          <w:tcPr>
            <w:tcW w:type="dxa" w:w="2160"/>
          </w:tcPr>
          <w:p>
            <w:r>
              <w:rPr>
                <w:rFonts w:ascii="Calibri" w:hAnsi="Calibri"/>
                <w:sz w:val="22"/>
              </w:rPr>
              <w:t>Free Cash Flow</w:t>
            </w:r>
          </w:p>
        </w:tc>
        <w:tc>
          <w:tcPr>
            <w:tcW w:type="dxa" w:w="2160"/>
          </w:tcPr>
          <w:p>
            <w:r>
              <w:rPr>
                <w:rFonts w:ascii="Calibri" w:hAnsi="Calibri"/>
                <w:sz w:val="22"/>
              </w:rPr>
              <w:t>$1.488B</w:t>
            </w:r>
          </w:p>
        </w:tc>
        <w:tc>
          <w:tcPr>
            <w:tcW w:type="dxa" w:w="2160"/>
          </w:tcPr>
          <w:p>
            <w:r>
              <w:rPr>
                <w:rFonts w:ascii="Calibri" w:hAnsi="Calibri"/>
                <w:sz w:val="22"/>
              </w:rPr>
              <w:t>$2.107B</w:t>
            </w:r>
          </w:p>
        </w:tc>
        <w:tc>
          <w:tcPr>
            <w:tcW w:type="dxa" w:w="2160"/>
          </w:tcPr>
          <w:p>
            <w:r>
              <w:rPr>
                <w:rFonts w:ascii="Calibri" w:hAnsi="Calibri"/>
                <w:sz w:val="22"/>
              </w:rPr>
              <w:t>+41.6%</w:t>
            </w:r>
          </w:p>
        </w:tc>
      </w:tr>
      <w:tr>
        <w:tc>
          <w:tcPr>
            <w:tcW w:type="dxa" w:w="2160"/>
          </w:tcPr>
          <w:p>
            <w:r>
              <w:rPr>
                <w:rFonts w:ascii="Calibri" w:hAnsi="Calibri"/>
                <w:sz w:val="22"/>
              </w:rPr>
              <w:t>Automotive Revenue</w:t>
            </w:r>
          </w:p>
        </w:tc>
        <w:tc>
          <w:tcPr>
            <w:tcW w:type="dxa" w:w="2160"/>
          </w:tcPr>
          <w:p>
            <w:r>
              <w:rPr>
                <w:rFonts w:ascii="Calibri" w:hAnsi="Calibri"/>
                <w:sz w:val="22"/>
              </w:rPr>
              <w:t>$3.312B</w:t>
            </w:r>
          </w:p>
        </w:tc>
        <w:tc>
          <w:tcPr>
            <w:tcW w:type="dxa" w:w="2160"/>
          </w:tcPr>
          <w:p>
            <w:r>
              <w:rPr>
                <w:rFonts w:ascii="Calibri" w:hAnsi="Calibri"/>
                <w:sz w:val="22"/>
              </w:rPr>
              <w:t>$3.693B</w:t>
            </w:r>
          </w:p>
        </w:tc>
        <w:tc>
          <w:tcPr>
            <w:tcW w:type="dxa" w:w="2160"/>
          </w:tcPr>
          <w:p>
            <w:r>
              <w:rPr>
                <w:rFonts w:ascii="Calibri" w:hAnsi="Calibri"/>
                <w:sz w:val="22"/>
              </w:rPr>
              <w:t>+11.5%</w:t>
            </w:r>
          </w:p>
        </w:tc>
      </w:tr>
      <w:tr>
        <w:tc>
          <w:tcPr>
            <w:tcW w:type="dxa" w:w="2160"/>
          </w:tcPr>
          <w:p>
            <w:r>
              <w:rPr>
                <w:rFonts w:ascii="Calibri" w:hAnsi="Calibri"/>
                <w:sz w:val="22"/>
              </w:rPr>
              <w:t>Industrial / Medical / Aero Revenue</w:t>
            </w:r>
          </w:p>
        </w:tc>
        <w:tc>
          <w:tcPr>
            <w:tcW w:type="dxa" w:w="2160"/>
          </w:tcPr>
          <w:p>
            <w:r>
              <w:rPr>
                <w:rFonts w:ascii="Calibri" w:hAnsi="Calibri"/>
                <w:sz w:val="22"/>
              </w:rPr>
              <w:t>$1.847B</w:t>
            </w:r>
          </w:p>
        </w:tc>
        <w:tc>
          <w:tcPr>
            <w:tcW w:type="dxa" w:w="2160"/>
          </w:tcPr>
          <w:p>
            <w:r>
              <w:rPr>
                <w:rFonts w:ascii="Calibri" w:hAnsi="Calibri"/>
                <w:sz w:val="22"/>
              </w:rPr>
              <w:t>$2.035B</w:t>
            </w:r>
          </w:p>
        </w:tc>
        <w:tc>
          <w:tcPr>
            <w:tcW w:type="dxa" w:w="2160"/>
          </w:tcPr>
          <w:p>
            <w:r>
              <w:rPr>
                <w:rFonts w:ascii="Calibri" w:hAnsi="Calibri"/>
                <w:sz w:val="22"/>
              </w:rPr>
              <w:t>+10.2%</w:t>
            </w:r>
          </w:p>
        </w:tc>
      </w:tr>
    </w:tbl>
    <w:p>
      <w:r>
        <w:rPr>
          <w:rFonts w:ascii="Calibri" w:hAnsi="Calibri"/>
          <w:i/>
          <w:color w:val="525866"/>
          <w:sz w:val="22"/>
        </w:rPr>
        <w:t>Source: Visible Alpha Consensus and Actuals Data (as of August 2,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