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b0166866c20f493d377d2c4109d6a437ba9d80a"/>
    <w:p>
      <w:pPr>
        <w:pStyle w:val="Heading1"/>
      </w:pPr>
      <w:r>
        <w:t xml:space="preserve">O'Reilly Automotive (ORLY) — Q2 2026 Earnings Preview</w:t>
      </w:r>
    </w:p>
    <w:p>
      <w:pPr>
        <w:pStyle w:val="FirstParagraph"/>
      </w:pPr>
      <w:r>
        <w:rPr>
          <w:b/>
          <w:bCs/>
        </w:rPr>
        <w:t xml:space="preserve">Report date:</w:t>
      </w:r>
      <w:r>
        <w:t xml:space="preserve"> </w:t>
      </w:r>
      <w:r>
        <w:t xml:space="preserve">Results are due Wednesday, July 29, 2026 after market close (~3:30pm CT), with the conference call the following morning (Thursday, July 30, 10:00am CT).</w:t>
      </w:r>
    </w:p>
    <w:p>
      <w:pPr>
        <w:pStyle w:val="BodyText"/>
      </w:pPr>
      <w:r>
        <w:rPr>
          <w:b/>
          <w:bCs/>
        </w:rPr>
        <w:t xml:space="preserve">Stock setup:</w:t>
      </w:r>
      <w:r>
        <w:t xml:space="preserve"> </w:t>
      </w:r>
      <w:r>
        <w:t xml:space="preserve">ORLY closed at **</w:t>
      </w:r>
      <m:oMath>
        <m:r>
          <m:t>91.19</m:t>
        </m:r>
        <m:r>
          <m:rPr>
            <m:sty m:val="p"/>
          </m:rPr>
          <m:t>*</m:t>
        </m:r>
        <m:r>
          <m:rPr>
            <m:sty m:val="p"/>
          </m:rPr>
          <m:t>*</m:t>
        </m:r>
        <m:r>
          <m:t>o</m:t>
        </m:r>
        <m:r>
          <m:t>n</m:t>
        </m:r>
        <m:r>
          <m:t>J</m:t>
        </m:r>
        <m:r>
          <m:t>u</m:t>
        </m:r>
        <m:r>
          <m:t>l</m:t>
        </m:r>
        <m:r>
          <m:t>y</m:t>
        </m:r>
        <m:r>
          <m:t>28</m:t>
        </m:r>
        <m:r>
          <m:rPr>
            <m:sty m:val="p"/>
          </m:rPr>
          <m:t>,</m:t>
        </m:r>
        <m:r>
          <m:t>r</m:t>
        </m:r>
        <m:r>
          <m:t>o</m:t>
        </m:r>
        <m:r>
          <m:t>u</m:t>
        </m:r>
        <m:r>
          <m:t>g</m:t>
        </m:r>
        <m:r>
          <m:t>h</m:t>
        </m:r>
        <m:r>
          <m:t>l</m:t>
        </m:r>
        <m:r>
          <m:t>y</m:t>
        </m:r>
        <m:r>
          <m:t>f</m:t>
        </m:r>
        <m:r>
          <m:t>l</m:t>
        </m:r>
        <m:r>
          <m:t>a</m:t>
        </m:r>
        <m:r>
          <m:t>t</m:t>
        </m:r>
        <m:r>
          <m:t>v</m:t>
        </m:r>
        <m:r>
          <m:t>e</m:t>
        </m:r>
        <m:r>
          <m:t>r</m:t>
        </m:r>
        <m:r>
          <m:t>s</m:t>
        </m:r>
        <m:r>
          <m:t>u</m:t>
        </m:r>
        <m:r>
          <m:t>s</m:t>
        </m:r>
        <m:r>
          <m:t>w</m:t>
        </m:r>
        <m:r>
          <m:t>h</m:t>
        </m:r>
        <m:r>
          <m:t>e</m:t>
        </m:r>
        <m:r>
          <m:t>r</m:t>
        </m:r>
        <m:r>
          <m:t>e</m:t>
        </m:r>
        <m:r>
          <m:t>i</m:t>
        </m:r>
        <m:r>
          <m:t>t</m:t>
        </m:r>
        <m:r>
          <m:t>t</m:t>
        </m:r>
        <m:r>
          <m:t>r</m:t>
        </m:r>
        <m:r>
          <m:t>a</m:t>
        </m:r>
        <m:r>
          <m:t>d</m:t>
        </m:r>
        <m:r>
          <m:t>e</m:t>
        </m:r>
        <m:r>
          <m:t>d</m:t>
        </m:r>
        <m:r>
          <m:t>h</m:t>
        </m:r>
        <m:r>
          <m:t>e</m:t>
        </m:r>
        <m:r>
          <m:t>a</m:t>
        </m:r>
        <m:r>
          <m:t>d</m:t>
        </m:r>
        <m:r>
          <m:t>i</m:t>
        </m:r>
        <m:r>
          <m:t>n</m:t>
        </m:r>
        <m:r>
          <m:t>g</m:t>
        </m:r>
        <m:r>
          <m:t>i</m:t>
        </m:r>
        <m:r>
          <m:t>n</m:t>
        </m:r>
        <m:r>
          <m:t>t</m:t>
        </m:r>
        <m:r>
          <m:t>o</m:t>
        </m:r>
        <m:r>
          <m:t>Q</m:t>
        </m:r>
        <m:r>
          <m:t>1</m:t>
        </m:r>
        <m:r>
          <m:t>e</m:t>
        </m:r>
        <m:r>
          <m:t>a</m:t>
        </m:r>
        <m:r>
          <m:t>r</m:t>
        </m:r>
        <m:r>
          <m:t>n</m:t>
        </m:r>
        <m:r>
          <m:t>i</m:t>
        </m:r>
        <m:r>
          <m:t>n</m:t>
        </m:r>
        <m:r>
          <m:t>g</m:t>
        </m:r>
        <m:r>
          <m:t>s</m:t>
        </m:r>
        <m:r>
          <m:t>i</m:t>
        </m:r>
        <m:r>
          <m:t>n</m:t>
        </m:r>
        <m:r>
          <m:t>l</m:t>
        </m:r>
        <m:r>
          <m:t>a</m:t>
        </m:r>
        <m:r>
          <m:t>t</m:t>
        </m:r>
        <m:r>
          <m:t>e</m:t>
        </m:r>
        <m:r>
          <m:t>A</m:t>
        </m:r>
        <m:r>
          <m:t>p</m:t>
        </m:r>
        <m:r>
          <m:t>r</m:t>
        </m:r>
        <m:r>
          <m:t>i</m:t>
        </m:r>
        <m:r>
          <m:t>l</m:t>
        </m:r>
        <m:r>
          <m:rPr>
            <m:sty m:val="p"/>
          </m:rPr>
          <m:t>,</m:t>
        </m:r>
        <m:r>
          <m:t>b</m:t>
        </m:r>
        <m:r>
          <m:t>u</m:t>
        </m:r>
        <m:r>
          <m:t>t</m:t>
        </m:r>
        <m:r>
          <m:t>w</m:t>
        </m:r>
        <m:r>
          <m:t>e</m:t>
        </m:r>
        <m:r>
          <m:t>l</m:t>
        </m:r>
        <m:r>
          <m:t>l</m:t>
        </m:r>
        <m:r>
          <m:t>o</m:t>
        </m:r>
        <m:r>
          <m:t>f</m:t>
        </m:r>
        <m:r>
          <m:t>f</m:t>
        </m:r>
        <m:r>
          <m:t>b</m:t>
        </m:r>
        <m:r>
          <m:t>o</m:t>
        </m:r>
        <m:r>
          <m:t>t</m:t>
        </m:r>
        <m:r>
          <m:t>h</m:t>
        </m:r>
        <m:r>
          <m:t>i</m:t>
        </m:r>
        <m:r>
          <m:t>t</m:t>
        </m:r>
        <m:r>
          <m:t>s</m:t>
        </m:r>
        <m:r>
          <m:t>52</m:t>
        </m:r>
        <m:r>
          <m:rPr>
            <m:sty m:val="p"/>
          </m:rPr>
          <m:t>−</m:t>
        </m:r>
        <m:r>
          <m:t>w</m:t>
        </m:r>
        <m:r>
          <m:t>e</m:t>
        </m:r>
        <m:r>
          <m:t>e</m:t>
        </m:r>
        <m:r>
          <m:t>k</m:t>
        </m:r>
        <m:r>
          <m:t>h</m:t>
        </m:r>
        <m:r>
          <m:t>i</m:t>
        </m:r>
        <m:r>
          <m:t>g</m:t>
        </m:r>
        <m:r>
          <m:t>h</m:t>
        </m:r>
        <m:r>
          <m:rPr>
            <m:sty m:val="p"/>
          </m:rPr>
          <m:t>(</m:t>
        </m:r>
        <m:r>
          <m:t> </m:t>
        </m:r>
      </m:oMath>
      <w:r>
        <w:t xml:space="preserve">101 in January and a post-Q1-earnings pop to ~$99.40 on April 30) and its 52-week low of $82.73 hit on July 15. The stock has been unusually volatile this summer for reasons that have little to do with core operating trends — more on that below.</w:t>
      </w:r>
    </w:p>
    <w:p>
      <w:r>
        <w:pict>
          <v:rect style="width:0;height:1.5pt" o:hralign="center" o:hrstd="t" o:hr="t"/>
        </w:pict>
      </w:r>
    </w:p>
    <w:bookmarkStart w:id="9" w:name="X0005c19529985ee5b55032d46a4422aa108c77e"/>
    <w:p>
      <w:pPr>
        <w:pStyle w:val="Heading2"/>
      </w:pPr>
      <w:r>
        <w:t xml:space="preserve">1. What happened last quarter (the baseline)</w:t>
      </w:r>
    </w:p>
    <w:p>
      <w:pPr>
        <w:pStyle w:val="FirstParagraph"/>
      </w:pPr>
      <w:r>
        <w:t xml:space="preserve">Q1 2026 was a blowout quarter that raises the bar for Q2 comparisons. O'Reilly posted an 8.1% increase in comparable store sales, which combined with new stores and international contribution to drive double-digit total sales growth of 10.2% for the first quarter of 2026. That flowed through to an impressive 14% increase in operating profit and a 16% increase in diluted earnings per share to $0.72, aided by continued buybacks. Management called out that professional business continues to be the larger contributor to our total comp results with our first quarter results making the third straight quarter we have posted double-digit professional comps, while DIY delivered a mid-single-digit comp.</w:t>
      </w:r>
    </w:p>
    <w:p>
      <w:pPr>
        <w:pStyle w:val="BodyText"/>
      </w:pPr>
      <w:r>
        <w:t xml:space="preserve">Crucially, management attributed a good chunk of the Q1 beat to one-time tailwinds rather than a structural inflection: the combination of an increased average -- in average refund size as well as higher total refund dollars coincided with favorable weather to produce a benefit for our business. They explicitly cautioned against extrapolating: we are always cautious to not overreact to first quarter results, which can be susceptible to demand variability driven by weather and tax refund dynamics. On the April call, they noted April has had the expected degree of seasonal moderation in volumes relative to March, but our business continues to be strong in both DIY and professional.</w:t>
      </w:r>
    </w:p>
    <w:p>
      <w:pPr>
        <w:pStyle w:val="BodyText"/>
      </w:pPr>
      <w:r>
        <w:t xml:space="preserve">Full-year guidance was</w:t>
      </w:r>
      <w:r>
        <w:t xml:space="preserve"> </w:t>
      </w:r>
      <w:r>
        <w:rPr>
          <w:b/>
          <w:bCs/>
        </w:rPr>
        <w:t xml:space="preserve">raised but not dramatically</w:t>
      </w:r>
      <w:r>
        <w:t xml:space="preserve">: management maintained our full year comparable store sales guidance range of 3% to 5%, while raising full-year EPS guidance to</w:t>
      </w:r>
      <w:r>
        <w:t xml:space="preserve"> </w:t>
      </w:r>
      <m:oMath>
        <m:r>
          <m:t>3.15</m:t>
        </m:r>
        <m:r>
          <m:rPr>
            <m:sty m:val="p"/>
          </m:rPr>
          <m:t>–</m:t>
        </m:r>
      </m:oMath>
      <w:r>
        <w:rPr>
          <w:b/>
          <w:bCs/>
        </w:rPr>
        <w:t xml:space="preserve">3.25</w:t>
      </w:r>
      <w:r>
        <w:t xml:space="preserve"> </w:t>
      </w:r>
      <w:r>
        <w:t xml:space="preserve">and operating margin guidance by 10bps to</w:t>
      </w:r>
      <w:r>
        <w:t xml:space="preserve"> </w:t>
      </w:r>
      <w:r>
        <w:rPr>
          <w:b/>
          <w:bCs/>
        </w:rPr>
        <w:t xml:space="preserve">19.3%–19.8%</w:t>
      </w:r>
      <w:r>
        <w:t xml:space="preserve">, driven mostly by the Q1 flow-through and buyback activity — we have kept our sales and operating margin outlook for the remaining 3 quarters of the year unchanged from our previous guidance. That's an important framing detail: Q2-Q4 guidance implicitly assumes a step-down from Q1's 8.1% comp toward the 3-5% full-year range.</w:t>
      </w:r>
    </w:p>
    <w:p>
      <w:pPr>
        <w:pStyle w:val="BodyText"/>
      </w:pPr>
      <w:r>
        <w:t xml:space="preserve">Other Q1 data points that carry into Q2: gross margin of 51.5% (guided 51.5-52% for the year), same-SKU inflation running near 6% in H1 versus an expected step-down toward ~3% for the full year as 2025 tariff-driven price hikes are lapped in H2, private-label penetration above 50% of revenue, and an adjusted debt/EBITDAR ratio of 2.03x versus a 2.5x target ceiling — meaning ample balance-sheet capacity remains for buybacks (or bigger moves).</w:t>
      </w:r>
    </w:p>
    <w:bookmarkEnd w:id="9"/>
    <w:bookmarkStart w:id="10" w:name="Xef74acc61559d4c57f061f77edd8a53583e9772"/>
    <w:p>
      <w:pPr>
        <w:pStyle w:val="Heading2"/>
      </w:pPr>
      <w:r>
        <w:t xml:space="preserve">2. Q2 2026 consensus expectations</w:t>
      </w:r>
    </w:p>
    <w:p>
      <w:pPr>
        <w:pStyle w:val="FirstParagraph"/>
      </w:pPr>
      <w:r>
        <w:t xml:space="preserve">Wall Street is looking for continued double-digit-adjacent growth, but a clear deceleration from Q1's pace:</w:t>
      </w:r>
    </w:p>
    <w:p>
      <w:pPr>
        <w:pStyle w:val="Compact"/>
        <w:numPr>
          <w:ilvl w:val="0"/>
          <w:numId w:val="1001"/>
        </w:numPr>
      </w:pPr>
      <w:r>
        <w:rPr>
          <w:b/>
          <w:bCs/>
        </w:rPr>
        <w:t xml:space="preserve">Revenue:</w:t>
      </w:r>
      <w:r>
        <w:t xml:space="preserve"> </w:t>
      </w:r>
      <w:r>
        <w:t xml:space="preserve">~$4.85 billion, reflecting 7.3% growth year-over-year (versus 10.2% in Q1 and 5.9% in the year-ago Q2).</w:t>
      </w:r>
    </w:p>
    <w:p>
      <w:pPr>
        <w:pStyle w:val="Compact"/>
        <w:numPr>
          <w:ilvl w:val="0"/>
          <w:numId w:val="1001"/>
        </w:numPr>
      </w:pPr>
      <w:r>
        <w:rPr>
          <w:b/>
          <w:bCs/>
        </w:rPr>
        <w:t xml:space="preserve">EPS:</w:t>
      </w:r>
      <w:r>
        <w:t xml:space="preserve"> </w:t>
      </w:r>
      <w:r>
        <w:t xml:space="preserve">consensus around</w:t>
      </w:r>
      <w:r>
        <w:t xml:space="preserve"> </w:t>
      </w:r>
      <w:r>
        <w:rPr>
          <w:b/>
          <w:bCs/>
        </w:rPr>
        <w:t xml:space="preserve">$0.85</w:t>
      </w:r>
      <w:r>
        <w:t xml:space="preserve">, pointing to a year-over-year increase of 9%.</w:t>
      </w:r>
    </w:p>
    <w:p>
      <w:pPr>
        <w:pStyle w:val="Compact"/>
        <w:numPr>
          <w:ilvl w:val="0"/>
          <w:numId w:val="1001"/>
        </w:numPr>
      </w:pPr>
      <w:r>
        <w:rPr>
          <w:b/>
          <w:bCs/>
        </w:rPr>
        <w:t xml:space="preserve">Full-year:</w:t>
      </w:r>
      <w:r>
        <w:t xml:space="preserve"> </w:t>
      </w:r>
      <w:r>
        <w:t xml:space="preserve">analysts model roughly</w:t>
      </w:r>
      <w:r>
        <w:t xml:space="preserve"> </w:t>
      </w:r>
      <w:r>
        <w:rPr>
          <w:b/>
          <w:bCs/>
        </w:rPr>
        <w:t xml:space="preserve">$3.24 EPS</w:t>
      </w:r>
      <w:r>
        <w:t xml:space="preserve">, in line with the top of O'Reilly's own</w:t>
      </w:r>
      <w:r>
        <w:t xml:space="preserve"> </w:t>
      </w:r>
      <m:oMath>
        <m:r>
          <m:t>3.15</m:t>
        </m:r>
        <m:r>
          <m:rPr>
            <m:sty m:val="p"/>
          </m:rPr>
          <m:t>−</m:t>
        </m:r>
      </m:oMath>
      <w:r>
        <w:t xml:space="preserve">3.25 guidance range, up 9.1% from $2.97 in fiscal 2025.</w:t>
      </w:r>
    </w:p>
    <w:p>
      <w:pPr>
        <w:pStyle w:val="Compact"/>
        <w:numPr>
          <w:ilvl w:val="0"/>
          <w:numId w:val="1001"/>
        </w:numPr>
      </w:pPr>
      <w:r>
        <w:t xml:space="preserve">Track record: O'Reilly has beaten Street EPS estimates in three of the last four quarters, though O'Reilly has missed Wall Street's revenue estimates multiple times over the last two years — a reminder the top line has been the more volatile side of the beat/miss ledger recently.</w:t>
      </w:r>
    </w:p>
    <w:p>
      <w:pPr>
        <w:pStyle w:val="Compact"/>
        <w:numPr>
          <w:ilvl w:val="0"/>
          <w:numId w:val="1001"/>
        </w:numPr>
      </w:pPr>
      <w:r>
        <w:t xml:space="preserve">Peer read-throughs have been mixed-to-fine: Genuine Parts delivered year-on-year revenue growth of 6%, beating analysts' expectations by 1.6%, and CarMax reported revenues up 6.2%, topping estimates by 8.2%.</w:t>
      </w:r>
    </w:p>
    <w:bookmarkEnd w:id="10"/>
    <w:bookmarkStart w:id="11" w:name="X21ae176dd1c0956641e6d049432f68c3435a586"/>
    <w:p>
      <w:pPr>
        <w:pStyle w:val="Heading2"/>
      </w:pPr>
      <w:r>
        <w:t xml:space="preserve">3. Key operating questions for the print</w:t>
      </w:r>
    </w:p>
    <w:p>
      <w:pPr>
        <w:pStyle w:val="FirstParagraph"/>
      </w:pPr>
      <w:r>
        <w:rPr>
          <w:b/>
          <w:bCs/>
        </w:rPr>
        <w:t xml:space="preserve">Is the comp deceleration orderly?</w:t>
      </w:r>
      <w:r>
        <w:t xml:space="preserve"> </w:t>
      </w:r>
      <w:r>
        <w:t xml:space="preserve">The market needs to see comps step down from 8%+ toward (but likely still above) the top of the 3-5% full-year range, without a disorderly collapse. Watch DIY vs. professional mix and ticket-vs-transaction drivers, since Q1's outperformance was driven by better-than-expected transaction/ticket counts rather than pricing.</w:t>
      </w:r>
    </w:p>
    <w:p>
      <w:pPr>
        <w:pStyle w:val="BodyText"/>
      </w:pPr>
      <w:r>
        <w:rPr>
          <w:b/>
          <w:bCs/>
        </w:rPr>
        <w:t xml:space="preserve">Consumer/fuel-cost pressure.</w:t>
      </w:r>
      <w:r>
        <w:t xml:space="preserve"> </w:t>
      </w:r>
      <w:r>
        <w:t xml:space="preserve">This is the single biggest known macro overhang for the quarter. Management flagged in April that rapid increases in fuel costs have the potential to impact consumer spending even in predominantly nondiscretionary sectors like our industry, and that it would take a sustained level over $4 a gallon to meaningfully dent miles driven. Since then, oil-supply disruption tied to the Iran conflict pushed gas prices higher through the spring/summer, and by late May, Americans have been struggling for months with high gas prices and persistent inflation and consumer sentiment has hit a record low, with the note that the boost some got from tax refunds is fading. Investors should listen closely for whether O'Reilly saw any incremental pressure on low-to-middle income DIY customers, and for commentary on motor-oil sourcing/cost, an area management flagged as exposed to Middle East supply given the conflict.</w:t>
      </w:r>
    </w:p>
    <w:p>
      <w:pPr>
        <w:pStyle w:val="BodyText"/>
      </w:pPr>
      <w:r>
        <w:rPr>
          <w:b/>
          <w:bCs/>
        </w:rPr>
        <w:t xml:space="preserve">Margin trajectory.</w:t>
      </w:r>
      <w:r>
        <w:t xml:space="preserve"> </w:t>
      </w:r>
      <w:r>
        <w:t xml:space="preserve">Gross margin should still benefit from decelerating-but-positive same-SKU inflation and private-label mix, but watch for commentary on tariff/freight costs and whether fuel costs are pressuring the delivery fleet embedded in SG&amp;A. Q1 SG&amp;A per-store growth ran hot at 5.5% against a full-year target of 3-4%; management guided this to moderate through the year, so Q2's per-store SG&amp;A growth rate is a real tell on cost discipline.</w:t>
      </w:r>
    </w:p>
    <w:p>
      <w:pPr>
        <w:pStyle w:val="BodyText"/>
      </w:pPr>
      <w:r>
        <w:rPr>
          <w:b/>
          <w:bCs/>
        </w:rPr>
        <w:t xml:space="preserve">Capital allocation / leverage capacity.</w:t>
      </w:r>
      <w:r>
        <w:t xml:space="preserve"> </w:t>
      </w:r>
      <w:r>
        <w:t xml:space="preserve">O'Reilly repurchased $923 million of stock in Q1 alone (plus $338 million more through late April) and sits comfortably below its 2.5x leverage target. With only about $1.14 billion left on the buyback authorization as of the Q1 release, a fresh authorization announcement is plausible — though this is now tangled up with a much bigger capital-allocation question (next section).</w:t>
      </w:r>
    </w:p>
    <w:p>
      <w:pPr>
        <w:pStyle w:val="BodyText"/>
      </w:pPr>
      <w:r>
        <w:rPr>
          <w:b/>
          <w:bCs/>
        </w:rPr>
        <w:t xml:space="preserve">Store growth.</w:t>
      </w:r>
      <w:r>
        <w:t xml:space="preserve"> </w:t>
      </w:r>
      <w:r>
        <w:t xml:space="preserve">O'Reilly remains on track for 225-235 net new stores in 2026, with 59 net new stores added in Q1 (domestic, Mexico, and Canada combined), and capex guided at $1.3-1.4 billion for the year.</w:t>
      </w:r>
    </w:p>
    <w:bookmarkEnd w:id="11"/>
    <w:bookmarkStart w:id="12" w:name="X45ce654970bec07491300574432cfbdc8f33d63"/>
    <w:p>
      <w:pPr>
        <w:pStyle w:val="Heading2"/>
      </w:pPr>
      <w:r>
        <w:t xml:space="preserve">4. The wildcard: the NAPA/Genuine Parts bid</w:t>
      </w:r>
    </w:p>
    <w:p>
      <w:pPr>
        <w:pStyle w:val="FirstParagraph"/>
      </w:pPr>
      <w:r>
        <w:t xml:space="preserve">This is arguably the dominant story of the quarter and the reason the stock has swung so hard since early July, likely overshadowing the underlying operating results on the call. According to Bloomberg reporting, O'Reilly Automotive has reportedly submitted a $10 billion cash bid to acquire Genuine Parts Company's automotive parts business, which operates as NAPA Auto Parts. The news initially hit ORLY shares hard — the stock fell roughly 6.7-7.3% on July 6 as shares of Genuine Parts rose sharply following the reported bid, while O'Reilly shares declined, reflecting investor concern over deal size, financing, integration risk, and possible antitrust scrutiny of combining two of the largest players in an already-consolidated aftermarket distribution channel.</w:t>
      </w:r>
    </w:p>
    <w:p>
      <w:pPr>
        <w:pStyle w:val="BodyText"/>
      </w:pPr>
      <w:r>
        <w:t xml:space="preserve">The situation has remained fluid and headline-driven through July:</w:t>
      </w:r>
    </w:p>
    <w:p>
      <w:pPr>
        <w:pStyle w:val="Compact"/>
        <w:numPr>
          <w:ilvl w:val="0"/>
          <w:numId w:val="1002"/>
        </w:numPr>
      </w:pPr>
      <w:r>
        <w:t xml:space="preserve">Sell-side reaction was mixed: UBS and Truist see meaningful revenue scale and international upside from a NAPA acquisition but warn on integration/financing risk, and the stock has whipsawed on every headline.</w:t>
      </w:r>
    </w:p>
    <w:p>
      <w:pPr>
        <w:pStyle w:val="Compact"/>
        <w:numPr>
          <w:ilvl w:val="0"/>
          <w:numId w:val="1002"/>
        </w:numPr>
      </w:pPr>
      <w:r>
        <w:t xml:space="preserve">Both companies have avoided confirming anything: neither company has confirmed a deal, and more recently shares of auto parts retailers O'Reilly Automotive (ORLY), AutoZone (AZO) and Advance Auto Parts (AAP) are higher after Genuine Parts (GPC) commented on media reports, seemingly denying active deal talks.</w:t>
      </w:r>
    </w:p>
    <w:p>
      <w:pPr>
        <w:pStyle w:val="Compact"/>
        <w:numPr>
          <w:ilvl w:val="0"/>
          <w:numId w:val="1002"/>
        </w:numPr>
      </w:pPr>
      <w:r>
        <w:t xml:space="preserve">Price targets have come down even as ratings mostly held: Citi cut its target to $104 from $115 and keeps a Buy rating, while Wells Fargo lowered the firm's price target on O'Reilly Automotive (ORLY) to $100 from $110 and keeps an Overweight rating. Roth MKM, by contrast, has reaffirmed a Buy rating even amid the noise.</w:t>
      </w:r>
    </w:p>
    <w:p>
      <w:pPr>
        <w:pStyle w:val="Compact"/>
        <w:numPr>
          <w:ilvl w:val="0"/>
          <w:numId w:val="1002"/>
        </w:numPr>
      </w:pPr>
      <w:r>
        <w:t xml:space="preserve">One analysis captured the market's ambivalence well: it's a story about GPC's own spinoff credibility as much as a merger — the fact that a bid like this surfaced at all, five months into a separation process GPC had already announced to the world, says more about how corporate breakups actually get priced than the eventual outcome.</w:t>
      </w:r>
    </w:p>
    <w:p>
      <w:pPr>
        <w:pStyle w:val="FirstParagraph"/>
      </w:pPr>
      <w:r>
        <w:rPr>
          <w:b/>
          <w:bCs/>
        </w:rPr>
        <w:t xml:space="preserve">What to watch on the call:</w:t>
      </w:r>
      <w:r>
        <w:t xml:space="preserve"> </w:t>
      </w:r>
      <w:r>
        <w:t xml:space="preserve">O'Reilly management will almost certainly be asked directly about the NAPA/GPC situation. Historically, management does not comment on M&amp;A speculation, so a "no comment" is the base case — but any language around capital allocation priorities, leverage appetite, or international/store-count ambitions could be read as a signal either way. Given the size (</w:t>
      </w:r>
      <m:oMath>
        <m:r>
          <m:t>10</m:t>
        </m:r>
        <m:r>
          <m:t>B</m:t>
        </m:r>
        <m:r>
          <m:rPr>
            <m:sty m:val="p"/>
          </m:rPr>
          <m:t>+</m:t>
        </m:r>
        <m:r>
          <m:t>v</m:t>
        </m:r>
        <m:r>
          <m:t>s</m:t>
        </m:r>
        <m:r>
          <m:rPr>
            <m:sty m:val="p"/>
          </m:rPr>
          <m:t>.</m:t>
        </m:r>
        <m:r>
          <m:t>O</m:t>
        </m:r>
        <m:r>
          <m:t>R</m:t>
        </m:r>
        <m:r>
          <m:t>L</m:t>
        </m:r>
        <m:sSup>
          <m:e>
            <m:r>
              <m:t>Y</m:t>
            </m:r>
          </m:e>
          <m:sup>
            <m:r>
              <m:rPr>
                <m:sty m:val="p"/>
              </m:rPr>
              <m:t>′</m:t>
            </m:r>
          </m:sup>
        </m:sSup>
        <m:r>
          <m:t>s</m:t>
        </m:r>
        <m:r>
          <m:t>o</m:t>
        </m:r>
        <m:r>
          <m:t>w</m:t>
        </m:r>
        <m:r>
          <m:t>n</m:t>
        </m:r>
        <m:r>
          <m:t> </m:t>
        </m:r>
      </m:oMath>
      <w:r>
        <w:t xml:space="preserve">50B+ market cap), a confirmed deal would be transformative and a major departure from O'Reilly's historically organic, buyback-heavy capital allocation playbook, which is precisely why the market has treated headlines about it as a risk factor rather than a clear positive.</w:t>
      </w:r>
    </w:p>
    <w:bookmarkEnd w:id="12"/>
    <w:bookmarkStart w:id="13" w:name="Xebd64ef9de4b8c246b065954c4a3af980ba1f32"/>
    <w:p>
      <w:pPr>
        <w:pStyle w:val="Heading2"/>
      </w:pPr>
      <w:r>
        <w:t xml:space="preserve">5. Valuation and sentiment backdrop</w:t>
      </w:r>
    </w:p>
    <w:p>
      <w:pPr>
        <w:pStyle w:val="FirstParagraph"/>
      </w:pPr>
      <w:r>
        <w:t xml:space="preserve">Sell-side sentiment remains constructive on the underlying business even as targets get trimmed for deal-related uncertainty. Coverage has generally been split between "Strong Buy" and "Buy," with an average price target that was in the $110+ range earlier this year before the recent cuts tied to the NAPA situation. At a stock price near $91, that still implies double-digit upside in most bull cases, but the target cuts show real analyst nervousness about capital allocation risk overshadowing an otherwise steady fundamental story.</w:t>
      </w:r>
    </w:p>
    <w:bookmarkEnd w:id="13"/>
    <w:bookmarkStart w:id="14" w:name="Xfd582ad183b47c015124d6cf6bc1df71d7aac32"/>
    <w:p>
      <w:pPr>
        <w:pStyle w:val="Heading2"/>
      </w:pPr>
      <w:r>
        <w:t xml:space="preserve">6. Bottom line — what would move the stock</w:t>
      </w:r>
    </w:p>
    <w:p>
      <w:pPr>
        <w:pStyle w:val="Compact"/>
        <w:numPr>
          <w:ilvl w:val="0"/>
          <w:numId w:val="1003"/>
        </w:numPr>
      </w:pPr>
      <w:r>
        <w:rPr>
          <w:b/>
          <w:bCs/>
        </w:rPr>
        <w:t xml:space="preserve">Bullish tell:</w:t>
      </w:r>
      <w:r>
        <w:t xml:space="preserve"> </w:t>
      </w:r>
      <w:r>
        <w:t xml:space="preserve">Comps holding up better than feared (mid-to-high single digits) despite fading tax-refund tailwinds and rising gas prices, continued professional-side share gains, stable gross margin, and reassuring — even if noncommittal — capital-allocation commentary on the NAPA situation.</w:t>
      </w:r>
    </w:p>
    <w:p>
      <w:pPr>
        <w:pStyle w:val="Compact"/>
        <w:numPr>
          <w:ilvl w:val="0"/>
          <w:numId w:val="1003"/>
        </w:numPr>
      </w:pPr>
      <w:r>
        <w:rPr>
          <w:b/>
          <w:bCs/>
        </w:rPr>
        <w:t xml:space="preserve">Bearish tell:</w:t>
      </w:r>
      <w:r>
        <w:t xml:space="preserve"> </w:t>
      </w:r>
      <w:r>
        <w:t xml:space="preserve">Evidence of consumer pullback tied to sustained higher fuel prices, SG&amp;A per-store growth failing to moderate as guided, gross margin pressure from motor-oil/tariff costs, or any signal that a large, debt-funded acquisition is imminent and would disrupt the buyback-driven EPS algorithm investors have underwritten.</w:t>
      </w:r>
    </w:p>
    <w:p>
      <w:pPr>
        <w:pStyle w:val="FirstParagraph"/>
      </w:pPr>
      <w:r>
        <w:t xml:space="preserve">Given the confluence of a tough comp compare, a live macro fuel-price risk, and an unresolved multibillion-dollar M&amp;A overhang, this quarter's stock reaction is likely to hinge as much on qualitative commentary (NAPA, consumer health, tariffs) as on the raw EPS/revenue beat-or-miss.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2026-07-29T02:08:24Z</dcterms:created>
  <dcterms:modified xsi:type="dcterms:W3CDTF">2026-07-29T02:08:24Z</dcterms:modified>
</cp:coreProperties>
</file>

<file path=docProps/custom.xml><?xml version="1.0" encoding="utf-8"?>
<Properties xmlns="http://schemas.openxmlformats.org/officeDocument/2006/custom-properties" xmlns:vt="http://schemas.openxmlformats.org/officeDocument/2006/docPropsVTypes"/>
</file>