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Xb0166866c20f493d377d2c4109d6a437ba9d80a"/>
    <w:p>
      <w:pPr>
        <w:pStyle w:val="Heading1"/>
      </w:pPr>
      <w:r>
        <w:t xml:space="preserve">O’Reilly Automotive (ORLY) — Q2 2026 Earnings Preview</w:t>
      </w:r>
    </w:p>
    <w:p>
      <w:pPr>
        <w:pStyle w:val="BlockText"/>
      </w:pPr>
      <w:r>
        <w:rPr>
          <w:b/>
          <w:bCs/>
        </w:rPr>
        <w:t xml:space="preserve">Timing clarification:</w:t>
      </w:r>
      <w:r>
        <w:t xml:space="preserve"> </w:t>
      </w:r>
      <w:r>
        <w:t xml:space="preserve">O’Reilly is scheduled to release Q2 results</w:t>
      </w:r>
      <w:r>
        <w:t xml:space="preserve"> </w:t>
      </w:r>
      <w:r>
        <w:rPr>
          <w:b/>
          <w:bCs/>
        </w:rPr>
        <w:t xml:space="preserve">today, Wednesday, July 29, 2026, after 3:30 p.m. Central Time</w:t>
      </w:r>
      <w:r>
        <w:t xml:space="preserve">. The earnings call is</w:t>
      </w:r>
      <w:r>
        <w:t xml:space="preserve"> </w:t>
      </w:r>
      <w:r>
        <w:rPr>
          <w:b/>
          <w:bCs/>
        </w:rPr>
        <w:t xml:space="preserve">tomorrow, Thursday, July 30, at 10:00 a.m. Central Time</w:t>
      </w:r>
      <w:r>
        <w:t xml:space="preserve">. (</w:t>
      </w:r>
      <w:hyperlink r:id="rId9">
        <w:r>
          <w:rPr>
            <w:rStyle w:val="Hyperlink"/>
          </w:rPr>
          <w:t xml:space="preserve">sec.gov</w:t>
        </w:r>
      </w:hyperlink>
      <w:r>
        <w:t xml:space="preserve">)</w:t>
      </w:r>
    </w:p>
    <w:bookmarkStart w:id="11" w:name="investment-setup"/>
    <w:p>
      <w:pPr>
        <w:pStyle w:val="Heading2"/>
      </w:pPr>
      <w:r>
        <w:t xml:space="preserve">Investment setup</w:t>
      </w:r>
    </w:p>
    <w:p>
      <w:pPr>
        <w:pStyle w:val="FirstParagraph"/>
      </w:pPr>
      <w:r>
        <w:t xml:space="preserve">O’Reilly enters the report with strong operating momentum but a more complicated external backdrop. First-quarter comparable-store sales rose</w:t>
      </w:r>
      <w:r>
        <w:t xml:space="preserve"> </w:t>
      </w:r>
      <w:r>
        <w:rPr>
          <w:b/>
          <w:bCs/>
        </w:rPr>
        <w:t xml:space="preserve">8.1%</w:t>
      </w:r>
      <w:r>
        <w:t xml:space="preserve">, including double-digit growth in the professional business and mid-single-digit DIY growth. Revenue increased 10%, operating profit rose 14%, and diluted EPS increased 16% to $0.72. (</w:t>
      </w:r>
      <w:hyperlink r:id="rId10">
        <w:r>
          <w:rPr>
            <w:rStyle w:val="Hyperlink"/>
          </w:rPr>
          <w:t xml:space="preserve">corporate.oreillyauto.com</w:t>
        </w:r>
      </w:hyperlink>
      <w:r>
        <w:t xml:space="preserve">)</w:t>
      </w:r>
    </w:p>
    <w:p>
      <w:pPr>
        <w:pStyle w:val="BodyText"/>
      </w:pPr>
      <w:r>
        <w:t xml:space="preserve">The central question is no longer whether O’Reilly is taking market share—it almost certainly is—but whether that momentum can persist as:</w:t>
      </w:r>
    </w:p>
    <w:p>
      <w:pPr>
        <w:pStyle w:val="Compact"/>
        <w:numPr>
          <w:ilvl w:val="0"/>
          <w:numId w:val="1001"/>
        </w:numPr>
      </w:pPr>
      <w:r>
        <w:t xml:space="preserve">First-half product-price inflation begins to roll over;</w:t>
      </w:r>
    </w:p>
    <w:p>
      <w:pPr>
        <w:pStyle w:val="Compact"/>
        <w:numPr>
          <w:ilvl w:val="0"/>
          <w:numId w:val="1001"/>
        </w:numPr>
      </w:pPr>
      <w:r>
        <w:t xml:space="preserve">Elevated fuel and freight costs pressure consumers and delivery expenses;</w:t>
      </w:r>
    </w:p>
    <w:p>
      <w:pPr>
        <w:pStyle w:val="Compact"/>
        <w:numPr>
          <w:ilvl w:val="0"/>
          <w:numId w:val="1001"/>
        </w:numPr>
      </w:pPr>
      <w:r>
        <w:t xml:space="preserve">Comparisons become more difficult;</w:t>
      </w:r>
    </w:p>
    <w:p>
      <w:pPr>
        <w:pStyle w:val="Compact"/>
        <w:numPr>
          <w:ilvl w:val="0"/>
          <w:numId w:val="1001"/>
        </w:numPr>
      </w:pPr>
      <w:r>
        <w:t xml:space="preserve">Investors seek clarity regarding the reported interest in Genuine Parts’ NAPA business.</w:t>
      </w:r>
    </w:p>
    <w:p>
      <w:pPr>
        <w:pStyle w:val="FirstParagraph"/>
      </w:pPr>
      <w:r>
        <w:t xml:space="preserve">A routine EPS beat may not be enough. The stock is likely to react primarily to the</w:t>
      </w:r>
      <w:r>
        <w:t xml:space="preserve"> </w:t>
      </w:r>
      <w:r>
        <w:rPr>
          <w:b/>
          <w:bCs/>
        </w:rPr>
        <w:t xml:space="preserve">quality of comparable sales, second-half guidance and capital-allocation commentary</w:t>
      </w:r>
      <w:r>
        <w:t xml:space="preserve">.</w:t>
      </w:r>
    </w:p>
    <w:bookmarkEnd w:id="11"/>
    <w:bookmarkStart w:id="13" w:name="what-the-street-expects"/>
    <w:p>
      <w:pPr>
        <w:pStyle w:val="Heading2"/>
      </w:pPr>
      <w:r>
        <w:t xml:space="preserve">What the Street expects</w:t>
      </w:r>
    </w:p>
    <w:p>
      <w:pPr>
        <w:pStyle w:val="FirstParagraph"/>
      </w:pPr>
      <w:r>
        <w:t xml:space="preserve">Published estimates cluster around the following:</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jc w:val="right"/>
            </w:pPr>
            <w:r>
              <w:t xml:space="preserve">Q2 2026 expectation</w:t>
            </w:r>
          </w:p>
        </w:tc>
        <w:tc>
          <w:tcPr/>
          <w:p>
            <w:pPr>
              <w:pStyle w:val="Compact"/>
              <w:jc w:val="right"/>
            </w:pPr>
            <w:r>
              <w:t xml:space="preserve">Q2 2025 actual</w:t>
            </w:r>
          </w:p>
        </w:tc>
        <w:tc>
          <w:tcPr/>
          <w:p>
            <w:pPr>
              <w:pStyle w:val="Compact"/>
              <w:jc w:val="right"/>
            </w:pPr>
            <w:r>
              <w:t xml:space="preserve">Implied growth</w:t>
            </w:r>
          </w:p>
        </w:tc>
      </w:tr>
      <w:tr>
        <w:tc>
          <w:tcPr/>
          <w:p>
            <w:pPr>
              <w:pStyle w:val="Compact"/>
            </w:pPr>
            <w:r>
              <w:t xml:space="preserve">Revenue</w:t>
            </w:r>
          </w:p>
        </w:tc>
        <w:tc>
          <w:tcPr/>
          <w:p>
            <w:pPr>
              <w:pStyle w:val="Compact"/>
              <w:jc w:val="right"/>
            </w:pPr>
            <w:r>
              <w:t xml:space="preserve">Approximately</w:t>
            </w:r>
            <w:r>
              <w:t xml:space="preserve"> </w:t>
            </w:r>
            <w:r>
              <w:rPr>
                <w:b/>
                <w:bCs/>
              </w:rPr>
              <w:t xml:space="preserve">$4.96 billion</w:t>
            </w:r>
          </w:p>
        </w:tc>
        <w:tc>
          <w:tcPr/>
          <w:p>
            <w:pPr>
              <w:pStyle w:val="Compact"/>
              <w:jc w:val="right"/>
            </w:pPr>
            <w:r>
              <w:t xml:space="preserve">$4.53 billion</w:t>
            </w:r>
          </w:p>
        </w:tc>
        <w:tc>
          <w:tcPr/>
          <w:p>
            <w:pPr>
              <w:pStyle w:val="Compact"/>
              <w:jc w:val="right"/>
            </w:pPr>
            <w:r>
              <w:t xml:space="preserve">Approximately</w:t>
            </w:r>
            <w:r>
              <w:t xml:space="preserve"> </w:t>
            </w:r>
            <w:r>
              <w:rPr>
                <w:b/>
                <w:bCs/>
              </w:rPr>
              <w:t xml:space="preserve">10%</w:t>
            </w:r>
          </w:p>
        </w:tc>
      </w:tr>
      <w:tr>
        <w:tc>
          <w:tcPr/>
          <w:p>
            <w:pPr>
              <w:pStyle w:val="Compact"/>
            </w:pPr>
            <w:r>
              <w:t xml:space="preserve">Diluted EPS</w:t>
            </w:r>
          </w:p>
        </w:tc>
        <w:tc>
          <w:tcPr/>
          <w:p>
            <w:pPr>
              <w:pStyle w:val="Compact"/>
              <w:jc w:val="right"/>
            </w:pPr>
            <m:oMath>
              <m:r>
                <m:t>0.86</m:t>
              </m:r>
              <m:r>
                <m:rPr>
                  <m:sty m:val="p"/>
                </m:rPr>
                <m:t>–</m:t>
              </m:r>
            </m:oMath>
            <w:r>
              <w:rPr>
                <w:b/>
                <w:bCs/>
              </w:rPr>
              <w:t xml:space="preserve">0.88</w:t>
            </w:r>
          </w:p>
        </w:tc>
        <w:tc>
          <w:tcPr/>
          <w:p>
            <w:pPr>
              <w:pStyle w:val="Compact"/>
              <w:jc w:val="right"/>
            </w:pPr>
            <w:r>
              <w:t xml:space="preserve">$0.78</w:t>
            </w:r>
          </w:p>
        </w:tc>
        <w:tc>
          <w:tcPr/>
          <w:p>
            <w:pPr>
              <w:pStyle w:val="Compact"/>
              <w:jc w:val="right"/>
            </w:pPr>
            <w:r>
              <w:t xml:space="preserve">Approximately</w:t>
            </w:r>
            <w:r>
              <w:t xml:space="preserve"> </w:t>
            </w:r>
            <w:r>
              <w:rPr>
                <w:b/>
                <w:bCs/>
              </w:rPr>
              <w:t xml:space="preserve">10%–13%</w:t>
            </w:r>
          </w:p>
        </w:tc>
      </w:tr>
      <w:tr>
        <w:tc>
          <w:tcPr/>
          <w:p>
            <w:pPr>
              <w:pStyle w:val="Compact"/>
            </w:pPr>
            <w:r>
              <w:t xml:space="preserve">Comparable-store sales</w:t>
            </w:r>
          </w:p>
        </w:tc>
        <w:tc>
          <w:tcPr/>
          <w:p>
            <w:pPr>
              <w:pStyle w:val="Compact"/>
              <w:jc w:val="right"/>
            </w:pPr>
            <w:r>
              <w:t xml:space="preserve">Approximately</w:t>
            </w:r>
            <w:r>
              <w:t xml:space="preserve"> </w:t>
            </w:r>
            <w:r>
              <w:rPr>
                <w:b/>
                <w:bCs/>
              </w:rPr>
              <w:t xml:space="preserve">5.5%</w:t>
            </w:r>
          </w:p>
        </w:tc>
        <w:tc>
          <w:tcPr/>
          <w:p>
            <w:pPr>
              <w:pStyle w:val="Compact"/>
              <w:jc w:val="right"/>
            </w:pPr>
            <w:r>
              <w:t xml:space="preserve">4.1%</w:t>
            </w:r>
          </w:p>
        </w:tc>
        <w:tc>
          <w:tcPr/>
          <w:p>
            <w:pPr>
              <w:pStyle w:val="Compact"/>
              <w:jc w:val="right"/>
            </w:pPr>
            <w:r>
              <w:t xml:space="preserve">—</w:t>
            </w:r>
          </w:p>
        </w:tc>
      </w:tr>
    </w:tbl>
    <w:p>
      <w:pPr>
        <w:pStyle w:val="BodyText"/>
      </w:pPr>
      <w:r>
        <w:t xml:space="preserve">TipRanks lists consensus EPS at</w:t>
      </w:r>
      <w:r>
        <w:t xml:space="preserve"> </w:t>
      </w:r>
      <m:oMath>
        <m:r>
          <m:t>0.86</m:t>
        </m:r>
        <m:r>
          <m:rPr>
            <m:sty m:val="p"/>
          </m:rPr>
          <m:t>*</m:t>
        </m:r>
        <m:r>
          <m:rPr>
            <m:sty m:val="p"/>
          </m:rPr>
          <m:t>*</m:t>
        </m:r>
        <m:r>
          <m:rPr>
            <m:sty m:val="p"/>
          </m:rPr>
          <m:t>,</m:t>
        </m:r>
        <m:r>
          <m:t>w</m:t>
        </m:r>
        <m:r>
          <m:t>h</m:t>
        </m:r>
        <m:r>
          <m:t>i</m:t>
        </m:r>
        <m:r>
          <m:t>l</m:t>
        </m:r>
        <m:r>
          <m:t>e</m:t>
        </m:r>
        <m:r>
          <m:t>R</m:t>
        </m:r>
        <m:r>
          <m:t>B</m:t>
        </m:r>
        <m:r>
          <m:t>C</m:t>
        </m:r>
        <m:r>
          <m:t>r</m:t>
        </m:r>
        <m:r>
          <m:t>e</m:t>
        </m:r>
        <m:r>
          <m:t>c</m:t>
        </m:r>
        <m:r>
          <m:t>e</m:t>
        </m:r>
        <m:r>
          <m:t>n</m:t>
        </m:r>
        <m:r>
          <m:t>t</m:t>
        </m:r>
        <m:r>
          <m:t>l</m:t>
        </m:r>
        <m:r>
          <m:t>y</m:t>
        </m:r>
        <m:r>
          <m:t>e</m:t>
        </m:r>
        <m:r>
          <m:t>s</m:t>
        </m:r>
        <m:r>
          <m:t>t</m:t>
        </m:r>
        <m:r>
          <m:t>i</m:t>
        </m:r>
        <m:r>
          <m:t>m</m:t>
        </m:r>
        <m:r>
          <m:t>a</m:t>
        </m:r>
        <m:r>
          <m:t>t</m:t>
        </m:r>
        <m:r>
          <m:t>e</m:t>
        </m:r>
        <m:r>
          <m:t>d</m:t>
        </m:r>
        <m:r>
          <m:rPr>
            <m:sty m:val="p"/>
          </m:rPr>
          <m:t>*</m:t>
        </m:r>
        <m:r>
          <m:rPr>
            <m:sty m:val="p"/>
          </m:rPr>
          <m:t>*</m:t>
        </m:r>
      </m:oMath>
      <w:r>
        <w:rPr>
          <w:b/>
          <w:bCs/>
        </w:rPr>
        <w:t xml:space="preserve">0.87</w:t>
      </w:r>
      <w:r>
        <w:t xml:space="preserve">, a 5.7% comparable-sales increase and consensus comparable sales of approximately 5.5%. (</w:t>
      </w:r>
      <w:hyperlink r:id="rId12">
        <w:r>
          <w:rPr>
            <w:rStyle w:val="Hyperlink"/>
          </w:rPr>
          <w:t xml:space="preserve">tipranks.com</w:t>
        </w:r>
      </w:hyperlink>
      <w:r>
        <w:t xml:space="preserve">)</w:t>
      </w:r>
    </w:p>
    <w:p>
      <w:pPr>
        <w:pStyle w:val="BodyText"/>
      </w:pPr>
      <w:r>
        <w:rPr>
          <w:i/>
          <w:iCs/>
        </w:rPr>
        <w:t xml:space="preserve">EPS figures are adjusted for O’Reilly’s 15-for-1 stock split completed in 2025.</w:t>
      </w:r>
    </w:p>
    <w:bookmarkEnd w:id="13"/>
    <w:bookmarkStart w:id="22" w:name="the-five-issues-that-matter-most"/>
    <w:p>
      <w:pPr>
        <w:pStyle w:val="Heading2"/>
      </w:pPr>
      <w:r>
        <w:t xml:space="preserve">The five issues that matter most</w:t>
      </w:r>
    </w:p>
    <w:bookmarkStart w:id="14" w:name="X4a98a4dad01bba0263e10f865913921a98a58b9"/>
    <w:p>
      <w:pPr>
        <w:pStyle w:val="Heading3"/>
      </w:pPr>
      <w:r>
        <w:t xml:space="preserve">1. Comparable sales: transactions matter more than the headline</w:t>
      </w:r>
    </w:p>
    <w:p>
      <w:pPr>
        <w:pStyle w:val="FirstParagraph"/>
      </w:pPr>
      <w:r>
        <w:t xml:space="preserve">O’Reilly’s first-quarter 8.1% comp benefited from approximately 6% same-SKU inflation, favorable weather, tax refunds and better-than-expected transaction growth. Management indicated that professional sales remained the larger growth contributor, but DIY was also stronger than expected.</w:t>
      </w:r>
    </w:p>
    <w:p>
      <w:pPr>
        <w:pStyle w:val="BodyText"/>
      </w:pPr>
      <w:r>
        <w:t xml:space="preserve">For Q2, a comp near the 5.5% consensus would be solid. Investors should look beneath the headline at:</w:t>
      </w:r>
    </w:p>
    <w:p>
      <w:pPr>
        <w:pStyle w:val="Compact"/>
        <w:numPr>
          <w:ilvl w:val="0"/>
          <w:numId w:val="1002"/>
        </w:numPr>
      </w:pPr>
      <w:r>
        <w:rPr>
          <w:b/>
          <w:bCs/>
        </w:rPr>
        <w:t xml:space="preserve">Professional versus DIY growth:</w:t>
      </w:r>
      <w:r>
        <w:t xml:space="preserve"> </w:t>
      </w:r>
      <w:r>
        <w:t xml:space="preserve">Continued professional outperformance would support the market-share thesis.</w:t>
      </w:r>
    </w:p>
    <w:p>
      <w:pPr>
        <w:pStyle w:val="Compact"/>
        <w:numPr>
          <w:ilvl w:val="0"/>
          <w:numId w:val="1002"/>
        </w:numPr>
      </w:pPr>
      <w:r>
        <w:rPr>
          <w:b/>
          <w:bCs/>
        </w:rPr>
        <w:t xml:space="preserve">Transaction counts versus average ticket:</w:t>
      </w:r>
      <w:r>
        <w:t xml:space="preserve"> </w:t>
      </w:r>
      <w:r>
        <w:t xml:space="preserve">A ticket-driven result would be less compelling than positive transaction growth.</w:t>
      </w:r>
    </w:p>
    <w:p>
      <w:pPr>
        <w:pStyle w:val="Compact"/>
        <w:numPr>
          <w:ilvl w:val="0"/>
          <w:numId w:val="1002"/>
        </w:numPr>
      </w:pPr>
      <w:r>
        <w:rPr>
          <w:b/>
          <w:bCs/>
        </w:rPr>
        <w:t xml:space="preserve">Category mix:</w:t>
      </w:r>
      <w:r>
        <w:t xml:space="preserve"> </w:t>
      </w:r>
      <w:r>
        <w:t xml:space="preserve">Strength in hard parts and maintenance categories is more durable than discretionary accessories.</w:t>
      </w:r>
    </w:p>
    <w:p>
      <w:pPr>
        <w:pStyle w:val="Compact"/>
        <w:numPr>
          <w:ilvl w:val="0"/>
          <w:numId w:val="1002"/>
        </w:numPr>
      </w:pPr>
      <w:r>
        <w:rPr>
          <w:b/>
          <w:bCs/>
        </w:rPr>
        <w:t xml:space="preserve">Monthly cadence:</w:t>
      </w:r>
      <w:r>
        <w:t xml:space="preserve"> </w:t>
      </w:r>
      <w:r>
        <w:t xml:space="preserve">April began strongly, but management had expected some moderation from March.</w:t>
      </w:r>
    </w:p>
    <w:p>
      <w:pPr>
        <w:pStyle w:val="FirstParagraph"/>
      </w:pPr>
      <w:r>
        <w:t xml:space="preserve">A result above 6% with positive transactions on both sides of the business would be clearly bullish. A 5%–6% comp dominated by inflation would be acceptable but less likely to drive estimate revisions.</w:t>
      </w:r>
    </w:p>
    <w:bookmarkEnd w:id="14"/>
    <w:bookmarkStart w:id="15" w:name="Xbb796252a1ceb21d5de154ed504845dbfac095f"/>
    <w:p>
      <w:pPr>
        <w:pStyle w:val="Heading3"/>
      </w:pPr>
      <w:r>
        <w:t xml:space="preserve">2. Full-year guidance—and what it implies for the second half</w:t>
      </w:r>
    </w:p>
    <w:p>
      <w:pPr>
        <w:pStyle w:val="FirstParagraph"/>
      </w:pPr>
      <w:r>
        <w:t xml:space="preserve">Current 2026 guidance is:</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Metric</w:t>
            </w:r>
          </w:p>
        </w:tc>
        <w:tc>
          <w:tcPr/>
          <w:p>
            <w:pPr>
              <w:pStyle w:val="Compact"/>
              <w:jc w:val="right"/>
            </w:pPr>
            <w:r>
              <w:t xml:space="preserve">Current guidance</w:t>
            </w:r>
          </w:p>
        </w:tc>
      </w:tr>
      <w:tr>
        <w:tc>
          <w:tcPr/>
          <w:p>
            <w:pPr>
              <w:pStyle w:val="Compact"/>
            </w:pPr>
            <w:r>
              <w:t xml:space="preserve">Comparable-store sales</w:t>
            </w:r>
          </w:p>
        </w:tc>
        <w:tc>
          <w:tcPr/>
          <w:p>
            <w:pPr>
              <w:pStyle w:val="Compact"/>
              <w:jc w:val="right"/>
            </w:pPr>
            <w:r>
              <w:rPr>
                <w:b/>
                <w:bCs/>
              </w:rPr>
              <w:t xml:space="preserve">3.0%–5.0%</w:t>
            </w:r>
          </w:p>
        </w:tc>
      </w:tr>
      <w:tr>
        <w:tc>
          <w:tcPr/>
          <w:p>
            <w:pPr>
              <w:pStyle w:val="Compact"/>
            </w:pPr>
            <w:r>
              <w:t xml:space="preserve">Revenue</w:t>
            </w:r>
          </w:p>
        </w:tc>
        <w:tc>
          <w:tcPr/>
          <w:p>
            <w:pPr>
              <w:pStyle w:val="Compact"/>
              <w:jc w:val="right"/>
            </w:pPr>
            <m:oMath>
              <m:r>
                <m:t>18.7</m:t>
              </m:r>
              <m:r>
                <m:t>B</m:t>
              </m:r>
              <m:r>
                <m:rPr>
                  <m:sty m:val="p"/>
                </m:rPr>
                <m:t>–</m:t>
              </m:r>
            </m:oMath>
            <w:r>
              <w:rPr>
                <w:b/>
                <w:bCs/>
              </w:rPr>
              <w:t xml:space="preserve">19.0B</w:t>
            </w:r>
          </w:p>
        </w:tc>
      </w:tr>
      <w:tr>
        <w:tc>
          <w:tcPr/>
          <w:p>
            <w:pPr>
              <w:pStyle w:val="Compact"/>
            </w:pPr>
            <w:r>
              <w:t xml:space="preserve">Gross margin</w:t>
            </w:r>
          </w:p>
        </w:tc>
        <w:tc>
          <w:tcPr/>
          <w:p>
            <w:pPr>
              <w:pStyle w:val="Compact"/>
              <w:jc w:val="right"/>
            </w:pPr>
            <w:r>
              <w:rPr>
                <w:b/>
                <w:bCs/>
              </w:rPr>
              <w:t xml:space="preserve">51.5%–52.0%</w:t>
            </w:r>
          </w:p>
        </w:tc>
      </w:tr>
      <w:tr>
        <w:tc>
          <w:tcPr/>
          <w:p>
            <w:pPr>
              <w:pStyle w:val="Compact"/>
            </w:pPr>
            <w:r>
              <w:t xml:space="preserve">Operating margin</w:t>
            </w:r>
          </w:p>
        </w:tc>
        <w:tc>
          <w:tcPr/>
          <w:p>
            <w:pPr>
              <w:pStyle w:val="Compact"/>
              <w:jc w:val="right"/>
            </w:pPr>
            <w:r>
              <w:rPr>
                <w:b/>
                <w:bCs/>
              </w:rPr>
              <w:t xml:space="preserve">19.3%–19.8%</w:t>
            </w:r>
          </w:p>
        </w:tc>
      </w:tr>
      <w:tr>
        <w:tc>
          <w:tcPr/>
          <w:p>
            <w:pPr>
              <w:pStyle w:val="Compact"/>
            </w:pPr>
            <w:r>
              <w:t xml:space="preserve">Diluted EPS</w:t>
            </w:r>
          </w:p>
        </w:tc>
        <w:tc>
          <w:tcPr/>
          <w:p>
            <w:pPr>
              <w:pStyle w:val="Compact"/>
              <w:jc w:val="right"/>
            </w:pPr>
            <m:oMath>
              <m:r>
                <m:t>3.15</m:t>
              </m:r>
              <m:r>
                <m:rPr>
                  <m:sty m:val="p"/>
                </m:rPr>
                <m:t>–</m:t>
              </m:r>
            </m:oMath>
            <w:r>
              <w:rPr>
                <w:b/>
                <w:bCs/>
              </w:rPr>
              <w:t xml:space="preserve">3.25</w:t>
            </w:r>
          </w:p>
        </w:tc>
      </w:tr>
      <w:tr>
        <w:tc>
          <w:tcPr/>
          <w:p>
            <w:pPr>
              <w:pStyle w:val="Compact"/>
            </w:pPr>
            <w:r>
              <w:t xml:space="preserve">Free cash flow</w:t>
            </w:r>
          </w:p>
        </w:tc>
        <w:tc>
          <w:tcPr/>
          <w:p>
            <w:pPr>
              <w:pStyle w:val="Compact"/>
              <w:jc w:val="right"/>
            </w:pPr>
            <m:oMath>
              <m:r>
                <m:t>1.8</m:t>
              </m:r>
              <m:r>
                <m:t>B</m:t>
              </m:r>
              <m:r>
                <m:rPr>
                  <m:sty m:val="p"/>
                </m:rPr>
                <m:t>–</m:t>
              </m:r>
            </m:oMath>
            <w:r>
              <w:rPr>
                <w:b/>
                <w:bCs/>
              </w:rPr>
              <w:t xml:space="preserve">2.1B</w:t>
            </w:r>
          </w:p>
        </w:tc>
      </w:tr>
      <w:tr>
        <w:tc>
          <w:tcPr/>
          <w:p>
            <w:pPr>
              <w:pStyle w:val="Compact"/>
            </w:pPr>
            <w:r>
              <w:t xml:space="preserve">Net new stores</w:t>
            </w:r>
          </w:p>
        </w:tc>
        <w:tc>
          <w:tcPr/>
          <w:p>
            <w:pPr>
              <w:pStyle w:val="Compact"/>
              <w:jc w:val="right"/>
            </w:pPr>
            <w:r>
              <w:rPr>
                <w:b/>
                <w:bCs/>
              </w:rPr>
              <w:t xml:space="preserve">225–235</w:t>
            </w:r>
          </w:p>
        </w:tc>
      </w:tr>
    </w:tbl>
    <w:p>
      <w:pPr>
        <w:pStyle w:val="BodyText"/>
      </w:pPr>
      <w:r>
        <w:t xml:space="preserve">(</w:t>
      </w:r>
      <w:hyperlink r:id="rId10">
        <w:r>
          <w:rPr>
            <w:rStyle w:val="Hyperlink"/>
          </w:rPr>
          <w:t xml:space="preserve">corporate.oreillyauto.com</w:t>
        </w:r>
      </w:hyperlink>
      <w:r>
        <w:t xml:space="preserve">)</w:t>
      </w:r>
    </w:p>
    <w:p>
      <w:pPr>
        <w:pStyle w:val="BodyText"/>
      </w:pPr>
      <w:r>
        <w:t xml:space="preserve">If Q2 comps land around 5.5% after Q1’s 8.1%, O’Reilly would need only roughly</w:t>
      </w:r>
      <w:r>
        <w:t xml:space="preserve"> </w:t>
      </w:r>
      <w:r>
        <w:rPr>
          <w:b/>
          <w:bCs/>
        </w:rPr>
        <w:t xml:space="preserve">1%–3% average comps in the second half</w:t>
      </w:r>
      <w:r>
        <w:t xml:space="preserve"> </w:t>
      </w:r>
      <w:r>
        <w:t xml:space="preserve">to finish within the annual 3%–5% range. That gives management room to raise guidance, but it may choose to retain conservatism because of fuel prices, consumer uncertainty and tougher inflation comparisons.</w:t>
      </w:r>
    </w:p>
    <w:p>
      <w:pPr>
        <w:pStyle w:val="BodyText"/>
      </w:pPr>
      <w:r>
        <w:t xml:space="preserve">The best outcome would be a modest increase in the sales and EPS ranges without requiring more price inflation. Merely narrowing guidance toward the upper half would also be constructive. Conversely, unchanged guidance accompanied by sharply softer July trends would suggest the first half contained temporary weather, tax-refund or pricing benefits.</w:t>
      </w:r>
    </w:p>
    <w:bookmarkEnd w:id="15"/>
    <w:bookmarkStart w:id="17" w:name="X9e20bc4906094b1db9e931b9821b8e99361f301"/>
    <w:p>
      <w:pPr>
        <w:pStyle w:val="Heading3"/>
      </w:pPr>
      <w:r>
        <w:t xml:space="preserve">3. Margin resilience amid fuel, freight and wage pressure</w:t>
      </w:r>
    </w:p>
    <w:p>
      <w:pPr>
        <w:pStyle w:val="FirstParagraph"/>
      </w:pPr>
      <w:r>
        <w:t xml:space="preserve">O’Reilly showed excellent expense control in Q1:</w:t>
      </w:r>
    </w:p>
    <w:p>
      <w:pPr>
        <w:pStyle w:val="Compact"/>
        <w:numPr>
          <w:ilvl w:val="0"/>
          <w:numId w:val="1003"/>
        </w:numPr>
      </w:pPr>
      <w:r>
        <w:t xml:space="preserve">Gross margin increased 19 basis points to 51.5%.</w:t>
      </w:r>
    </w:p>
    <w:p>
      <w:pPr>
        <w:pStyle w:val="Compact"/>
        <w:numPr>
          <w:ilvl w:val="0"/>
          <w:numId w:val="1003"/>
        </w:numPr>
      </w:pPr>
      <w:r>
        <w:t xml:space="preserve">SG&amp;A declined to 33.0% of sales from 33.4%.</w:t>
      </w:r>
    </w:p>
    <w:p>
      <w:pPr>
        <w:pStyle w:val="Compact"/>
        <w:numPr>
          <w:ilvl w:val="0"/>
          <w:numId w:val="1003"/>
        </w:numPr>
      </w:pPr>
      <w:r>
        <w:t xml:space="preserve">Operating margin expanded to 18.5% from 17.9%.</w:t>
      </w:r>
    </w:p>
    <w:p>
      <w:pPr>
        <w:pStyle w:val="FirstParagraph"/>
      </w:pPr>
      <w:r>
        <w:t xml:space="preserve">(</w:t>
      </w:r>
      <w:hyperlink r:id="rId10">
        <w:r>
          <w:rPr>
            <w:rStyle w:val="Hyperlink"/>
          </w:rPr>
          <w:t xml:space="preserve">corporate.oreillyauto.com</w:t>
        </w:r>
      </w:hyperlink>
      <w:r>
        <w:t xml:space="preserve">)</w:t>
      </w:r>
    </w:p>
    <w:p>
      <w:pPr>
        <w:pStyle w:val="BodyText"/>
      </w:pPr>
      <w:r>
        <w:t xml:space="preserve">Q2 is seasonally more profitable; last year’s operating margin was 20.2%. The key test is whether strong sales can offset higher expenses associated with O’Reilly’s distribution network and professional delivery fleet.</w:t>
      </w:r>
    </w:p>
    <w:p>
      <w:pPr>
        <w:pStyle w:val="BodyText"/>
      </w:pPr>
      <w:r>
        <w:t xml:space="preserve">Recent results from NAPA parent Genuine Parts provide a mixed industry read-through. Its North American automotive comparable sales increased 2.6%, with segment EBITDA margin expanding 20 basis points, but management described a softer June amid higher fuel prices and moderated its full-year North American automotive sales outlook. July improved to low-single-digit growth. The companies’ comp definitions and business models differ, but O’Reilly appears to be materially outperforming the broader market. (</w:t>
      </w:r>
      <w:hyperlink r:id="rId16">
        <w:r>
          <w:rPr>
            <w:rStyle w:val="Hyperlink"/>
          </w:rPr>
          <w:t xml:space="preserve">genpt.com</w:t>
        </w:r>
      </w:hyperlink>
      <w:r>
        <w:t xml:space="preserve">)</w:t>
      </w:r>
    </w:p>
    <w:p>
      <w:pPr>
        <w:pStyle w:val="BodyText"/>
      </w:pPr>
      <w:r>
        <w:t xml:space="preserve">Investors should listen for:</w:t>
      </w:r>
    </w:p>
    <w:p>
      <w:pPr>
        <w:pStyle w:val="Compact"/>
        <w:numPr>
          <w:ilvl w:val="0"/>
          <w:numId w:val="1004"/>
        </w:numPr>
      </w:pPr>
      <w:r>
        <w:t xml:space="preserve">Changes in product-acquisition costs and tariff exposure;</w:t>
      </w:r>
    </w:p>
    <w:p>
      <w:pPr>
        <w:pStyle w:val="Compact"/>
        <w:numPr>
          <w:ilvl w:val="0"/>
          <w:numId w:val="1004"/>
        </w:numPr>
      </w:pPr>
      <w:r>
        <w:t xml:space="preserve">Whether motor-oil or freight inflation is affecting gross margin;</w:t>
      </w:r>
    </w:p>
    <w:p>
      <w:pPr>
        <w:pStyle w:val="Compact"/>
        <w:numPr>
          <w:ilvl w:val="0"/>
          <w:numId w:val="1004"/>
        </w:numPr>
      </w:pPr>
      <w:r>
        <w:t xml:space="preserve">Fuel costs within SG&amp;A and distribution expenses;</w:t>
      </w:r>
    </w:p>
    <w:p>
      <w:pPr>
        <w:pStyle w:val="Compact"/>
        <w:numPr>
          <w:ilvl w:val="0"/>
          <w:numId w:val="1004"/>
        </w:numPr>
      </w:pPr>
      <w:r>
        <w:t xml:space="preserve">Wage, healthcare and liability-cost trends;</w:t>
      </w:r>
    </w:p>
    <w:p>
      <w:pPr>
        <w:pStyle w:val="Compact"/>
        <w:numPr>
          <w:ilvl w:val="0"/>
          <w:numId w:val="1004"/>
        </w:numPr>
      </w:pPr>
      <w:r>
        <w:t xml:space="preserve">Whether SG&amp;A per-store growth remains on track to moderate after Q1.</w:t>
      </w:r>
    </w:p>
    <w:bookmarkEnd w:id="17"/>
    <w:bookmarkStart w:id="20" w:name="X17abd5594ca5e23be1b163921cf8dead69dc012"/>
    <w:p>
      <w:pPr>
        <w:pStyle w:val="Heading3"/>
      </w:pPr>
      <w:r>
        <w:t xml:space="preserve">4. The NAPA issue may overshadow the quarter</w:t>
      </w:r>
    </w:p>
    <w:p>
      <w:pPr>
        <w:pStyle w:val="FirstParagraph"/>
      </w:pPr>
      <w:r>
        <w:t xml:space="preserve">Reports in early July said O’Reilly had shown interest in buying Genuine Parts’ automotive operation for</w:t>
      </w:r>
      <w:r>
        <w:t xml:space="preserve"> </w:t>
      </w:r>
      <w:r>
        <w:rPr>
          <w:b/>
          <w:bCs/>
        </w:rPr>
        <w:t xml:space="preserve">$10 billion or more</w:t>
      </w:r>
      <w:r>
        <w:t xml:space="preserve">. Investors reacted negatively because of substantial store overlap, regulatory risk, NAPA’s independent-owner structure and the operational complexity of integrating two very different distribution systems. (</w:t>
      </w:r>
      <w:hyperlink r:id="rId18">
        <w:r>
          <w:rPr>
            <w:rStyle w:val="Hyperlink"/>
          </w:rPr>
          <w:t xml:space="preserve">news.bloomberglaw.com</w:t>
        </w:r>
      </w:hyperlink>
      <w:r>
        <w:t xml:space="preserve">)</w:t>
      </w:r>
    </w:p>
    <w:p>
      <w:pPr>
        <w:pStyle w:val="BodyText"/>
      </w:pPr>
      <w:r>
        <w:t xml:space="preserve">On July 21, Genuine Parts said it was</w:t>
      </w:r>
      <w:r>
        <w:t xml:space="preserve"> </w:t>
      </w:r>
      <w:r>
        <w:rPr>
          <w:b/>
          <w:bCs/>
        </w:rPr>
        <w:t xml:space="preserve">not currently in discussions with any competitor</w:t>
      </w:r>
      <w:r>
        <w:t xml:space="preserve"> </w:t>
      </w:r>
      <w:r>
        <w:t xml:space="preserve">and remained focused on separating its automotive and industrial businesses in the first quarter of 2027. That reduces the immediate probability of a transaction but does not necessarily settle whether O’Reilly previously made an approach or might revisit the opportunity. (</w:t>
      </w:r>
      <w:hyperlink r:id="rId19">
        <w:r>
          <w:rPr>
            <w:rStyle w:val="Hyperlink"/>
          </w:rPr>
          <w:t xml:space="preserve">pulseratings.com</w:t>
        </w:r>
      </w:hyperlink>
      <w:r>
        <w:t xml:space="preserve">)</w:t>
      </w:r>
    </w:p>
    <w:p>
      <w:pPr>
        <w:pStyle w:val="BodyText"/>
      </w:pPr>
      <w:r>
        <w:t xml:space="preserve">The earnings call should therefore address:</w:t>
      </w:r>
    </w:p>
    <w:p>
      <w:pPr>
        <w:pStyle w:val="Compact"/>
        <w:numPr>
          <w:ilvl w:val="0"/>
          <w:numId w:val="1005"/>
        </w:numPr>
      </w:pPr>
      <w:r>
        <w:t xml:space="preserve">Whether O’Reilly remains interested in transformational M&amp;A;</w:t>
      </w:r>
    </w:p>
    <w:p>
      <w:pPr>
        <w:pStyle w:val="Compact"/>
        <w:numPr>
          <w:ilvl w:val="0"/>
          <w:numId w:val="1005"/>
        </w:numPr>
      </w:pPr>
      <w:r>
        <w:t xml:space="preserve">Its acquisition criteria and leverage tolerance;</w:t>
      </w:r>
    </w:p>
    <w:p>
      <w:pPr>
        <w:pStyle w:val="Compact"/>
        <w:numPr>
          <w:ilvl w:val="0"/>
          <w:numId w:val="1005"/>
        </w:numPr>
      </w:pPr>
      <w:r>
        <w:t xml:space="preserve">Whether North American organic expansion remains the priority;</w:t>
      </w:r>
    </w:p>
    <w:p>
      <w:pPr>
        <w:pStyle w:val="Compact"/>
        <w:numPr>
          <w:ilvl w:val="0"/>
          <w:numId w:val="1005"/>
        </w:numPr>
      </w:pPr>
      <w:r>
        <w:t xml:space="preserve">Whether buybacks remain the preferred use of excess capital.</w:t>
      </w:r>
    </w:p>
    <w:p>
      <w:pPr>
        <w:pStyle w:val="FirstParagraph"/>
      </w:pPr>
      <w:r>
        <w:t xml:space="preserve">A clear statement that no large acquisition is being pursued would likely be welcomed. Ambiguity could keep an M&amp;A discount embedded in the shares even if quarterly results beat expectations.</w:t>
      </w:r>
    </w:p>
    <w:bookmarkEnd w:id="20"/>
    <w:bookmarkStart w:id="21" w:name="X9d93e4c9000e73dedf73f31247eff1251a94c2a"/>
    <w:p>
      <w:pPr>
        <w:pStyle w:val="Heading3"/>
      </w:pPr>
      <w:r>
        <w:t xml:space="preserve">5. Cash flow, inventory and buybacks</w:t>
      </w:r>
    </w:p>
    <w:p>
      <w:pPr>
        <w:pStyle w:val="FirstParagraph"/>
      </w:pPr>
      <w:r>
        <w:t xml:space="preserve">O’Reilly generated $785 million of free cash flow in Q1. It repurchased $923 million of stock during the quarter and another $338 million through the April earnings release, at average prices around</w:t>
      </w:r>
      <w:r>
        <w:t xml:space="preserve"> </w:t>
      </w:r>
      <m:oMath>
        <m:r>
          <m:t>92</m:t>
        </m:r>
        <m:r>
          <m:rPr>
            <m:sty m:val="p"/>
          </m:rPr>
          <m:t>–</m:t>
        </m:r>
      </m:oMath>
      <w:r>
        <w:t xml:space="preserve">93 per share. Approximately $1.14 billion remained under the authorization at that time. (</w:t>
      </w:r>
      <w:hyperlink r:id="rId10">
        <w:r>
          <w:rPr>
            <w:rStyle w:val="Hyperlink"/>
          </w:rPr>
          <w:t xml:space="preserve">corporate.oreillyauto.com</w:t>
        </w:r>
      </w:hyperlink>
      <w:r>
        <w:t xml:space="preserve">)</w:t>
      </w:r>
    </w:p>
    <w:p>
      <w:pPr>
        <w:pStyle w:val="BodyText"/>
      </w:pPr>
      <w:r>
        <w:t xml:space="preserve">Watch for:</w:t>
      </w:r>
    </w:p>
    <w:p>
      <w:pPr>
        <w:pStyle w:val="Compact"/>
        <w:numPr>
          <w:ilvl w:val="0"/>
          <w:numId w:val="1006"/>
        </w:numPr>
      </w:pPr>
      <w:r>
        <w:t xml:space="preserve">The Q2 repurchase pace, especially after the July selloff;</w:t>
      </w:r>
    </w:p>
    <w:p>
      <w:pPr>
        <w:pStyle w:val="Compact"/>
        <w:numPr>
          <w:ilvl w:val="0"/>
          <w:numId w:val="1006"/>
        </w:numPr>
      </w:pPr>
      <w:r>
        <w:t xml:space="preserve">Any increase in the authorization;</w:t>
      </w:r>
    </w:p>
    <w:p>
      <w:pPr>
        <w:pStyle w:val="Compact"/>
        <w:numPr>
          <w:ilvl w:val="0"/>
          <w:numId w:val="1006"/>
        </w:numPr>
      </w:pPr>
      <w:r>
        <w:t xml:space="preserve">Inventory growth and availability;</w:t>
      </w:r>
    </w:p>
    <w:p>
      <w:pPr>
        <w:pStyle w:val="Compact"/>
        <w:numPr>
          <w:ilvl w:val="0"/>
          <w:numId w:val="1006"/>
        </w:numPr>
      </w:pPr>
      <w:r>
        <w:t xml:space="preserve">Accounts payable relative to inventory;</w:t>
      </w:r>
    </w:p>
    <w:p>
      <w:pPr>
        <w:pStyle w:val="Compact"/>
        <w:numPr>
          <w:ilvl w:val="0"/>
          <w:numId w:val="1006"/>
        </w:numPr>
      </w:pPr>
      <w:r>
        <w:t xml:space="preserve">Adjusted leverage versus management’s long-term 2.5-times target;</w:t>
      </w:r>
    </w:p>
    <w:p>
      <w:pPr>
        <w:pStyle w:val="Compact"/>
        <w:numPr>
          <w:ilvl w:val="0"/>
          <w:numId w:val="1006"/>
        </w:numPr>
      </w:pPr>
      <w:r>
        <w:t xml:space="preserve">Progress toward the</w:t>
      </w:r>
      <w:r>
        <w:t xml:space="preserve"> </w:t>
      </w:r>
      <m:oMath>
        <m:r>
          <m:t>1.8</m:t>
        </m:r>
        <m:r>
          <m:t>b</m:t>
        </m:r>
        <m:r>
          <m:t>i</m:t>
        </m:r>
        <m:r>
          <m:t>l</m:t>
        </m:r>
        <m:r>
          <m:t>l</m:t>
        </m:r>
        <m:r>
          <m:t>i</m:t>
        </m:r>
        <m:r>
          <m:t>o</m:t>
        </m:r>
        <m:r>
          <m:t>n</m:t>
        </m:r>
        <m:r>
          <m:rPr>
            <m:sty m:val="p"/>
          </m:rPr>
          <m:t>–</m:t>
        </m:r>
      </m:oMath>
      <w:r>
        <w:t xml:space="preserve">2.1 billion free-cash-flow objective.</w:t>
      </w:r>
    </w:p>
    <w:p>
      <w:pPr>
        <w:pStyle w:val="FirstParagraph"/>
      </w:pPr>
      <w:r>
        <w:t xml:space="preserve">O’Reilly’s inventory availability is a central competitive advantage, particularly for professional customers who value rapid delivery. Investors should not automatically view above-sales inventory growth negatively if turns remain healthy and availability is producing share gains.</w:t>
      </w:r>
    </w:p>
    <w:p>
      <w:pPr>
        <w:pStyle w:val="BodyText"/>
      </w:pPr>
      <w:r>
        <w:t xml:space="preserve">The appointment of Colin Yankee, formerly Tractor Supply’s chief supply-chain officer, also makes any discussion of distribution productivity, inventory deployment and long-term supply-chain investment worth monitoring.</w:t>
      </w:r>
    </w:p>
    <w:bookmarkEnd w:id="21"/>
    <w:bookmarkEnd w:id="22"/>
    <w:bookmarkStart w:id="26" w:name="scenario-framework"/>
    <w:p>
      <w:pPr>
        <w:pStyle w:val="Heading2"/>
      </w:pPr>
      <w:r>
        <w:t xml:space="preserve">Scenario framework</w:t>
      </w:r>
    </w:p>
    <w:bookmarkStart w:id="23" w:name="bull-case"/>
    <w:p>
      <w:pPr>
        <w:pStyle w:val="Heading3"/>
      </w:pPr>
      <w:r>
        <w:t xml:space="preserve">Bull case</w:t>
      </w:r>
    </w:p>
    <w:p>
      <w:pPr>
        <w:pStyle w:val="Compact"/>
        <w:numPr>
          <w:ilvl w:val="0"/>
          <w:numId w:val="1007"/>
        </w:numPr>
      </w:pPr>
      <w:r>
        <w:t xml:space="preserve">Comparable sales above</w:t>
      </w:r>
      <w:r>
        <w:t xml:space="preserve"> </w:t>
      </w:r>
      <w:r>
        <w:rPr>
          <w:b/>
          <w:bCs/>
        </w:rPr>
        <w:t xml:space="preserve">6%</w:t>
      </w:r>
      <w:r>
        <w:t xml:space="preserve">;</w:t>
      </w:r>
    </w:p>
    <w:p>
      <w:pPr>
        <w:pStyle w:val="Compact"/>
        <w:numPr>
          <w:ilvl w:val="0"/>
          <w:numId w:val="1007"/>
        </w:numPr>
      </w:pPr>
      <w:r>
        <w:t xml:space="preserve">Positive transactions in both professional and DIY;</w:t>
      </w:r>
    </w:p>
    <w:p>
      <w:pPr>
        <w:pStyle w:val="Compact"/>
        <w:numPr>
          <w:ilvl w:val="0"/>
          <w:numId w:val="1007"/>
        </w:numPr>
      </w:pPr>
      <w:r>
        <w:t xml:space="preserve">Continued double-digit or near-double-digit professional growth;</w:t>
      </w:r>
    </w:p>
    <w:p>
      <w:pPr>
        <w:pStyle w:val="Compact"/>
        <w:numPr>
          <w:ilvl w:val="0"/>
          <w:numId w:val="1007"/>
        </w:numPr>
      </w:pPr>
      <w:r>
        <w:t xml:space="preserve">Stable-to-higher gross and operating margins;</w:t>
      </w:r>
    </w:p>
    <w:p>
      <w:pPr>
        <w:pStyle w:val="Compact"/>
        <w:numPr>
          <w:ilvl w:val="0"/>
          <w:numId w:val="1007"/>
        </w:numPr>
      </w:pPr>
      <w:r>
        <w:t xml:space="preserve">EPS above roughly</w:t>
      </w:r>
      <w:r>
        <w:t xml:space="preserve"> </w:t>
      </w:r>
      <w:r>
        <w:rPr>
          <w:b/>
          <w:bCs/>
        </w:rPr>
        <w:t xml:space="preserve">$0.88</w:t>
      </w:r>
      <w:r>
        <w:t xml:space="preserve">;</w:t>
      </w:r>
    </w:p>
    <w:p>
      <w:pPr>
        <w:pStyle w:val="Compact"/>
        <w:numPr>
          <w:ilvl w:val="0"/>
          <w:numId w:val="1007"/>
        </w:numPr>
      </w:pPr>
      <w:r>
        <w:t xml:space="preserve">Full-year EPS and comp guidance raised;</w:t>
      </w:r>
    </w:p>
    <w:p>
      <w:pPr>
        <w:pStyle w:val="Compact"/>
        <w:numPr>
          <w:ilvl w:val="0"/>
          <w:numId w:val="1007"/>
        </w:numPr>
      </w:pPr>
      <w:r>
        <w:t xml:space="preserve">Clear reassurance that transformational M&amp;A is not imminent.</w:t>
      </w:r>
    </w:p>
    <w:bookmarkEnd w:id="23"/>
    <w:bookmarkStart w:id="24" w:name="base-case"/>
    <w:p>
      <w:pPr>
        <w:pStyle w:val="Heading3"/>
      </w:pPr>
      <w:r>
        <w:t xml:space="preserve">Base case</w:t>
      </w:r>
    </w:p>
    <w:p>
      <w:pPr>
        <w:pStyle w:val="Compact"/>
        <w:numPr>
          <w:ilvl w:val="0"/>
          <w:numId w:val="1008"/>
        </w:numPr>
      </w:pPr>
      <w:r>
        <w:t xml:space="preserve">Comparable sales of</w:t>
      </w:r>
      <w:r>
        <w:t xml:space="preserve"> </w:t>
      </w:r>
      <w:r>
        <w:rPr>
          <w:b/>
          <w:bCs/>
        </w:rPr>
        <w:t xml:space="preserve">5%–6%</w:t>
      </w:r>
      <w:r>
        <w:t xml:space="preserve">;</w:t>
      </w:r>
    </w:p>
    <w:p>
      <w:pPr>
        <w:pStyle w:val="Compact"/>
        <w:numPr>
          <w:ilvl w:val="0"/>
          <w:numId w:val="1008"/>
        </w:numPr>
      </w:pPr>
      <w:r>
        <w:t xml:space="preserve">EPS of approximately</w:t>
      </w:r>
      <w:r>
        <w:t xml:space="preserve"> </w:t>
      </w:r>
      <m:oMath>
        <m:r>
          <m:t>0.86</m:t>
        </m:r>
        <m:r>
          <m:rPr>
            <m:sty m:val="p"/>
          </m:rPr>
          <m:t>–</m:t>
        </m:r>
      </m:oMath>
      <w:r>
        <w:rPr>
          <w:b/>
          <w:bCs/>
        </w:rPr>
        <w:t xml:space="preserve">0.88</w:t>
      </w:r>
      <w:r>
        <w:t xml:space="preserve">;</w:t>
      </w:r>
    </w:p>
    <w:p>
      <w:pPr>
        <w:pStyle w:val="Compact"/>
        <w:numPr>
          <w:ilvl w:val="0"/>
          <w:numId w:val="1008"/>
        </w:numPr>
      </w:pPr>
      <w:r>
        <w:t xml:space="preserve">Professional remains stronger than DIY;</w:t>
      </w:r>
    </w:p>
    <w:p>
      <w:pPr>
        <w:pStyle w:val="Compact"/>
        <w:numPr>
          <w:ilvl w:val="0"/>
          <w:numId w:val="1008"/>
        </w:numPr>
      </w:pPr>
      <w:r>
        <w:t xml:space="preserve">Modest fuel and freight pressure, offset by sales leverage;</w:t>
      </w:r>
    </w:p>
    <w:p>
      <w:pPr>
        <w:pStyle w:val="Compact"/>
        <w:numPr>
          <w:ilvl w:val="0"/>
          <w:numId w:val="1008"/>
        </w:numPr>
      </w:pPr>
      <w:r>
        <w:t xml:space="preserve">Guidance maintained but management points toward the upper half;</w:t>
      </w:r>
    </w:p>
    <w:p>
      <w:pPr>
        <w:pStyle w:val="Compact"/>
        <w:numPr>
          <w:ilvl w:val="0"/>
          <w:numId w:val="1008"/>
        </w:numPr>
      </w:pPr>
      <w:r>
        <w:t xml:space="preserve">Limited new information on NAPA.</w:t>
      </w:r>
    </w:p>
    <w:bookmarkEnd w:id="24"/>
    <w:bookmarkStart w:id="25" w:name="bear-case"/>
    <w:p>
      <w:pPr>
        <w:pStyle w:val="Heading3"/>
      </w:pPr>
      <w:r>
        <w:t xml:space="preserve">Bear case</w:t>
      </w:r>
    </w:p>
    <w:p>
      <w:pPr>
        <w:pStyle w:val="Compact"/>
        <w:numPr>
          <w:ilvl w:val="0"/>
          <w:numId w:val="1009"/>
        </w:numPr>
      </w:pPr>
      <w:r>
        <w:t xml:space="preserve">Comparable sales below</w:t>
      </w:r>
      <w:r>
        <w:t xml:space="preserve"> </w:t>
      </w:r>
      <w:r>
        <w:rPr>
          <w:b/>
          <w:bCs/>
        </w:rPr>
        <w:t xml:space="preserve">5%</w:t>
      </w:r>
      <w:r>
        <w:t xml:space="preserve">, especially if transaction counts weaken;</w:t>
      </w:r>
    </w:p>
    <w:p>
      <w:pPr>
        <w:pStyle w:val="Compact"/>
        <w:numPr>
          <w:ilvl w:val="0"/>
          <w:numId w:val="1009"/>
        </w:numPr>
      </w:pPr>
      <w:r>
        <w:t xml:space="preserve">Material June or July deceleration;</w:t>
      </w:r>
    </w:p>
    <w:p>
      <w:pPr>
        <w:pStyle w:val="Compact"/>
        <w:numPr>
          <w:ilvl w:val="0"/>
          <w:numId w:val="1009"/>
        </w:numPr>
      </w:pPr>
      <w:r>
        <w:t xml:space="preserve">DIY softness spreads into necessary maintenance categories;</w:t>
      </w:r>
    </w:p>
    <w:p>
      <w:pPr>
        <w:pStyle w:val="Compact"/>
        <w:numPr>
          <w:ilvl w:val="0"/>
          <w:numId w:val="1009"/>
        </w:numPr>
      </w:pPr>
      <w:r>
        <w:t xml:space="preserve">Fuel, freight or labor costs pressure operating margin;</w:t>
      </w:r>
    </w:p>
    <w:p>
      <w:pPr>
        <w:pStyle w:val="Compact"/>
        <w:numPr>
          <w:ilvl w:val="0"/>
          <w:numId w:val="1009"/>
        </w:numPr>
      </w:pPr>
      <w:r>
        <w:t xml:space="preserve">Full-year guidance remains unchanged because second-half expectations are reduced;</w:t>
      </w:r>
    </w:p>
    <w:p>
      <w:pPr>
        <w:pStyle w:val="Compact"/>
        <w:numPr>
          <w:ilvl w:val="0"/>
          <w:numId w:val="1009"/>
        </w:numPr>
      </w:pPr>
      <w:r>
        <w:t xml:space="preserve">Management leaves the possibility of a large NAPA transaction open.</w:t>
      </w:r>
    </w:p>
    <w:bookmarkEnd w:id="25"/>
    <w:bookmarkEnd w:id="26"/>
    <w:bookmarkStart w:id="27" w:name="bottom-line"/>
    <w:p>
      <w:pPr>
        <w:pStyle w:val="Heading2"/>
      </w:pPr>
      <w:r>
        <w:t xml:space="preserve">Bottom line</w:t>
      </w:r>
    </w:p>
    <w:p>
      <w:pPr>
        <w:pStyle w:val="FirstParagraph"/>
      </w:pPr>
      <w:r>
        <w:t xml:space="preserve">The operating bar is elevated after Q1, but O’Reilly remains one of the strongest share-taking businesses in automotive aftermarket retail. A Q2 comp around consensus and EPS in the high-$0.80s would confirm that momentum. The more important variables are whether transaction growth remains healthy, whether management raises or derisks full-year expectations, and whether it removes the NAPA acquisition overhang.</w:t>
      </w:r>
    </w:p>
    <w:p>
      <w:pPr>
        <w:pStyle w:val="BodyText"/>
      </w:pPr>
      <w:r>
        <w:rPr>
          <w:b/>
          <w:bCs/>
        </w:rPr>
        <w:t xml:space="preserve">The cleanest bullish report would combine a transaction-led comp beat, stable margins, a modest guidance increase and explicit capital-allocation discipline.</w:t>
      </w:r>
      <w:r>
        <w:t xml:space="preserve"> </w:t>
      </w:r>
      <w:r>
        <w:t xml:space="preserve">A headline EPS beat without those elements may produce a muted response.</w:t>
      </w:r>
    </w:p>
    <w:bookmarkEnd w:id="27"/>
    <w:bookmarkEnd w:id="28"/>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10" Target="https://corporate.oreillyauto.com/2026/04/29/oreilly-automotive-inc-reports-first-quarter-2026-results/" TargetMode="External" /><Relationship Type="http://schemas.openxmlformats.org/officeDocument/2006/relationships/hyperlink" Id="rId18" Target="https://news.bloomberglaw.com/mergers-and-acquisitions/genuine-parts-is-said-to-receive-oreilly-interest-for-auto-unit?utm_source=openai" TargetMode="External" /><Relationship Type="http://schemas.openxmlformats.org/officeDocument/2006/relationships/hyperlink" Id="rId16" Target="https://www.genpt.com/2026-07-21-Genuine-Parts-Company-Reports-Second-Quarter-2026-Results-Reaffirms-2026-Outlook-for-Adjusted-EPS-of-7-50-to-8-00" TargetMode="External" /><Relationship Type="http://schemas.openxmlformats.org/officeDocument/2006/relationships/hyperlink" Id="rId19" Target="https://www.pulseratings.com/report/5802/2026-07-21/oreilly-auto-parts-genuine-auto-parts-denies-discussions-with-any-competitors/?utm_source=openai" TargetMode="External" /><Relationship Type="http://schemas.openxmlformats.org/officeDocument/2006/relationships/hyperlink" Id="rId9" Target="https://www.sec.gov/Archives/edgar/data/898173/000089817326000037/orly-20260701xex99d1.htm" TargetMode="External" /><Relationship Type="http://schemas.openxmlformats.org/officeDocument/2006/relationships/hyperlink" Id="rId12" Target="https://www.tipranks.com/stocks/orly/earnings" TargetMode="External" /></Relationships>
</file>

<file path=word/_rels/footnotes.xml.rels><?xml version="1.0" encoding="UTF-8"?><Relationships xmlns="http://schemas.openxmlformats.org/package/2006/relationships"><Relationship Type="http://schemas.openxmlformats.org/officeDocument/2006/relationships/hyperlink" Id="rId10" Target="https://corporate.oreillyauto.com/2026/04/29/oreilly-automotive-inc-reports-first-quarter-2026-results/" TargetMode="External" /><Relationship Type="http://schemas.openxmlformats.org/officeDocument/2006/relationships/hyperlink" Id="rId18" Target="https://news.bloomberglaw.com/mergers-and-acquisitions/genuine-parts-is-said-to-receive-oreilly-interest-for-auto-unit?utm_source=openai" TargetMode="External" /><Relationship Type="http://schemas.openxmlformats.org/officeDocument/2006/relationships/hyperlink" Id="rId16" Target="https://www.genpt.com/2026-07-21-Genuine-Parts-Company-Reports-Second-Quarter-2026-Results-Reaffirms-2026-Outlook-for-Adjusted-EPS-of-7-50-to-8-00" TargetMode="External" /><Relationship Type="http://schemas.openxmlformats.org/officeDocument/2006/relationships/hyperlink" Id="rId19" Target="https://www.pulseratings.com/report/5802/2026-07-21/oreilly-auto-parts-genuine-auto-parts-denies-discussions-with-any-competitors/?utm_source=openai" TargetMode="External" /><Relationship Type="http://schemas.openxmlformats.org/officeDocument/2006/relationships/hyperlink" Id="rId9" Target="https://www.sec.gov/Archives/edgar/data/898173/000089817326000037/orly-20260701xex99d1.htm" TargetMode="External" /><Relationship Type="http://schemas.openxmlformats.org/officeDocument/2006/relationships/hyperlink" Id="rId12" Target="https://www.tipranks.com/stocks/orly/earnings"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2026-07-29T02:05:22Z</dcterms:created>
  <dcterms:modified xsi:type="dcterms:W3CDTF">2026-07-29T02:05:22Z</dcterms:modified>
</cp:coreProperties>
</file>

<file path=docProps/custom.xml><?xml version="1.0" encoding="utf-8"?>
<Properties xmlns="http://schemas.openxmlformats.org/officeDocument/2006/custom-properties" xmlns:vt="http://schemas.openxmlformats.org/officeDocument/2006/docPropsVTypes"/>
</file>